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2835"/>
        <w:gridCol w:w="568"/>
      </w:tblGrid>
      <w:tr w:rsidR="00774FFD" w:rsidRPr="00257EF2" w:rsidTr="00560360">
        <w:trPr>
          <w:gridAfter w:val="1"/>
          <w:wAfter w:w="568" w:type="dxa"/>
          <w:trHeight w:val="300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70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702F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ОАО «СУЭНКО»*</w:t>
            </w:r>
          </w:p>
        </w:tc>
      </w:tr>
      <w:tr w:rsidR="00774FFD" w:rsidRPr="00257EF2" w:rsidTr="00560360">
        <w:trPr>
          <w:gridAfter w:val="1"/>
          <w:wAfter w:w="568" w:type="dxa"/>
          <w:trHeight w:val="375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48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ехнологическое присоединение к электрическим сетям ОА</w:t>
            </w:r>
            <w:proofErr w:type="gramStart"/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О"</w:t>
            </w:r>
            <w:proofErr w:type="gramEnd"/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СУЭНКО"</w:t>
            </w:r>
            <w:r w:rsidR="00702F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 индивидуальному проекту</w:t>
            </w:r>
          </w:p>
        </w:tc>
      </w:tr>
      <w:tr w:rsidR="00774FFD" w:rsidRPr="00257EF2" w:rsidTr="00560360">
        <w:trPr>
          <w:gridAfter w:val="3"/>
          <w:wAfter w:w="11342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основании  решений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равилами технологического присоединения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04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намеревающегося осуществить технологическое присоединение принадлежащих ему </w:t>
            </w:r>
            <w:proofErr w:type="spellStart"/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энергопринимающих</w:t>
            </w:r>
            <w:proofErr w:type="spellEnd"/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</w:t>
            </w:r>
            <w:proofErr w:type="gramStart"/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>ств</w:t>
            </w:r>
            <w:r w:rsidR="00047F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</w:t>
            </w:r>
            <w:proofErr w:type="gramEnd"/>
            <w:r w:rsidR="00047F6A">
              <w:rPr>
                <w:rFonts w:ascii="Arial" w:eastAsia="Times New Roman" w:hAnsi="Arial" w:cs="Arial"/>
                <w:color w:val="000000"/>
                <w:lang w:eastAsia="ru-RU"/>
              </w:rPr>
              <w:t>и отсутствии технической возможности</w:t>
            </w:r>
            <w:r w:rsidR="00047F6A" w:rsidRPr="00047F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технологического присоединения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70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зависимости от параметров 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 присоединение в соответствии с Правилами технологического присоединения.</w:t>
            </w:r>
          </w:p>
        </w:tc>
      </w:tr>
      <w:tr w:rsidR="00774FFD" w:rsidRPr="00257EF2" w:rsidTr="00560360">
        <w:trPr>
          <w:gridAfter w:val="2"/>
          <w:wAfter w:w="3403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  <w:p w:rsidR="00DE358F" w:rsidRPr="00257EF2" w:rsidRDefault="00DE358F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2835"/>
        <w:gridCol w:w="3118"/>
        <w:gridCol w:w="1984"/>
      </w:tblGrid>
      <w:tr w:rsidR="002F2D06" w:rsidRPr="00774FFD" w:rsidTr="006E3A4F">
        <w:trPr>
          <w:trHeight w:val="600"/>
        </w:trPr>
        <w:tc>
          <w:tcPr>
            <w:tcW w:w="567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5387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835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118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984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560360">
        <w:trPr>
          <w:trHeight w:val="1367"/>
        </w:trPr>
        <w:tc>
          <w:tcPr>
            <w:tcW w:w="567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5387" w:type="dxa"/>
            <w:hideMark/>
          </w:tcPr>
          <w:p w:rsidR="00774FFD" w:rsidRPr="00047F6A" w:rsidRDefault="004E726B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7A5CF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2835" w:type="dxa"/>
            <w:hideMark/>
          </w:tcPr>
          <w:p w:rsidR="00525341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лично или</w:t>
            </w:r>
            <w:r w:rsidR="004E726B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118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984" w:type="dxa"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560360">
        <w:trPr>
          <w:trHeight w:val="983"/>
        </w:trPr>
        <w:tc>
          <w:tcPr>
            <w:tcW w:w="567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5387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2835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</w:t>
            </w:r>
            <w:r w:rsidR="0070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118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ней </w:t>
            </w:r>
            <w:proofErr w:type="gramStart"/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заявки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</w:tcPr>
          <w:p w:rsidR="007A5CF1" w:rsidRPr="00047F6A" w:rsidRDefault="00702F2B" w:rsidP="0056036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47F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Правил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D40DA7" w:rsidRPr="00774FFD" w:rsidTr="00560360">
        <w:trPr>
          <w:trHeight w:val="1626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технических условий на технологическое присоединение по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№1 к договору)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заявления об установлении платы за технологическое присоединение по индивидуальному проекту с даты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получения недостающих сведений.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. 30.1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1988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Установление платы за технологическое присоединение по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Направление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направлении заявления об установлении платы.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В 3-дневный срок после направления заявления об установление платы по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</w:t>
            </w:r>
            <w:r w:rsidR="00D40DA7" w:rsidRPr="00047F6A">
              <w:rPr>
                <w:rFonts w:ascii="Arial" w:hAnsi="Arial" w:cs="Arial"/>
                <w:color w:val="000000"/>
                <w:sz w:val="16"/>
                <w:szCs w:val="16"/>
              </w:rPr>
              <w:t xml:space="preserve"> 30.2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2401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 рабочих дней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</w:t>
            </w:r>
            <w:r w:rsidR="00047F6A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gramEnd"/>
            <w:r w:rsid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индивидуальному проекту.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. 30.4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2833"/>
        </w:trPr>
        <w:tc>
          <w:tcPr>
            <w:tcW w:w="567" w:type="dxa"/>
            <w:hideMark/>
          </w:tcPr>
          <w:p w:rsidR="00D40DA7" w:rsidRPr="00047F6A" w:rsidRDefault="00966B15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Изменение указанных в индивидуальных технических условиях</w:t>
            </w:r>
            <w:r w:rsidR="00966B1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либо их части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инициативе заявителя.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Письменное обращение заявителя в сетевую организацию.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письменного обращения заявителя.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. 30.4 Правил технологического присоединения к электрическим сетям.</w:t>
            </w:r>
          </w:p>
        </w:tc>
      </w:tr>
      <w:tr w:rsidR="0023357A" w:rsidRPr="00774FFD" w:rsidTr="00560360">
        <w:trPr>
          <w:trHeight w:val="1899"/>
        </w:trPr>
        <w:tc>
          <w:tcPr>
            <w:tcW w:w="567" w:type="dxa"/>
            <w:hideMark/>
          </w:tcPr>
          <w:p w:rsidR="0023357A" w:rsidRPr="00047F6A" w:rsidRDefault="004E726B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5387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2835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984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560360">
        <w:trPr>
          <w:trHeight w:val="2915"/>
        </w:trPr>
        <w:tc>
          <w:tcPr>
            <w:tcW w:w="567" w:type="dxa"/>
            <w:hideMark/>
          </w:tcPr>
          <w:p w:rsidR="0023357A" w:rsidRPr="00047F6A" w:rsidRDefault="004E726B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5387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2835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984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1FE" w:rsidRPr="00774FFD" w:rsidTr="001731FE">
        <w:trPr>
          <w:trHeight w:val="2827"/>
        </w:trPr>
        <w:tc>
          <w:tcPr>
            <w:tcW w:w="567" w:type="dxa"/>
            <w:vMerge w:val="restart"/>
            <w:hideMark/>
          </w:tcPr>
          <w:p w:rsidR="001731FE" w:rsidRPr="00774FFD" w:rsidRDefault="001731FE" w:rsidP="009D1D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hideMark/>
          </w:tcPr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5387" w:type="dxa"/>
            <w:vMerge w:val="restart"/>
            <w:hideMark/>
          </w:tcPr>
          <w:p w:rsidR="001731FE" w:rsidRPr="00774FFD" w:rsidRDefault="001731FE" w:rsidP="009D1D0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hideMark/>
          </w:tcPr>
          <w:p w:rsidR="001731FE" w:rsidRPr="00774FFD" w:rsidRDefault="001731FE" w:rsidP="009D1D0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118" w:type="dxa"/>
            <w:hideMark/>
          </w:tcPr>
          <w:p w:rsidR="001731FE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731FE" w:rsidRPr="00774FFD" w:rsidRDefault="00310F58" w:rsidP="009D1D0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1731FE"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81-102 Правил технологического присое</w:t>
            </w:r>
            <w:bookmarkStart w:id="0" w:name="_GoBack"/>
            <w:bookmarkEnd w:id="0"/>
            <w:r w:rsidR="001731FE"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динения к электрическим сетям.</w:t>
            </w:r>
          </w:p>
        </w:tc>
      </w:tr>
      <w:tr w:rsidR="001731FE" w:rsidRPr="00774FFD" w:rsidTr="001731FE">
        <w:trPr>
          <w:trHeight w:val="3532"/>
        </w:trPr>
        <w:tc>
          <w:tcPr>
            <w:tcW w:w="567" w:type="dxa"/>
            <w:vMerge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1731FE" w:rsidRPr="00047F6A" w:rsidRDefault="001731FE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31FE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118" w:type="dxa"/>
          </w:tcPr>
          <w:p w:rsidR="001731FE" w:rsidRPr="00774FFD" w:rsidRDefault="001731FE" w:rsidP="001731FE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  <w:proofErr w:type="gramEnd"/>
          </w:p>
        </w:tc>
        <w:tc>
          <w:tcPr>
            <w:tcW w:w="1984" w:type="dxa"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1FE" w:rsidRPr="00774FFD" w:rsidTr="00161AA1">
        <w:trPr>
          <w:trHeight w:val="2691"/>
        </w:trPr>
        <w:tc>
          <w:tcPr>
            <w:tcW w:w="567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5387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2835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118" w:type="dxa"/>
            <w:hideMark/>
          </w:tcPr>
          <w:p w:rsidR="001731FE" w:rsidRDefault="001731FE" w:rsidP="001731F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1731FE" w:rsidRPr="00047F6A" w:rsidRDefault="001731FE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774FFD" w:rsidRDefault="00774FFD"/>
    <w:p w:rsidR="00702F2B" w:rsidRDefault="00702F2B" w:rsidP="00702F2B">
      <w:pPr>
        <w:spacing w:after="0" w:line="180" w:lineRule="exact"/>
        <w:ind w:left="357"/>
      </w:pPr>
      <w:r>
        <w:t>* - Действие настоящего паспорта не распространяется на «Тепло Тюмени» - филиал ОАО «СУЭНКО».</w:t>
      </w:r>
    </w:p>
    <w:p w:rsidR="00702F2B" w:rsidRDefault="00702F2B" w:rsidP="00702F2B">
      <w:pPr>
        <w:spacing w:after="0" w:line="180" w:lineRule="exact"/>
        <w:ind w:left="357"/>
      </w:pPr>
    </w:p>
    <w:p w:rsidR="00702F2B" w:rsidRDefault="00702F2B" w:rsidP="00702F2B">
      <w:pPr>
        <w:spacing w:after="0" w:line="180" w:lineRule="exact"/>
        <w:ind w:left="357"/>
      </w:pPr>
      <w:r>
        <w:t xml:space="preserve">** - "Правила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702F2B" w:rsidRDefault="00702F2B" w:rsidP="00702F2B">
      <w:pPr>
        <w:spacing w:after="0" w:line="180" w:lineRule="exact"/>
        <w:ind w:left="357"/>
      </w:pPr>
    </w:p>
    <w:p w:rsidR="00702F2B" w:rsidRDefault="00702F2B" w:rsidP="00702F2B">
      <w:pPr>
        <w:spacing w:after="0" w:line="180" w:lineRule="exact"/>
        <w:ind w:left="357"/>
      </w:pPr>
      <w:r>
        <w:t xml:space="preserve">Контактная информация для направления обращений: </w:t>
      </w:r>
    </w:p>
    <w:p w:rsidR="00702F2B" w:rsidRDefault="00702F2B" w:rsidP="00702F2B">
      <w:pPr>
        <w:spacing w:after="0" w:line="180" w:lineRule="exact"/>
        <w:ind w:left="357"/>
        <w:rPr>
          <w:b/>
        </w:rPr>
      </w:pPr>
      <w:r>
        <w:rPr>
          <w:b/>
        </w:rPr>
        <w:t>ОАО «СУЭНКО», г. Тюмень, ул. Одесская, 14</w:t>
      </w:r>
    </w:p>
    <w:p w:rsidR="00702F2B" w:rsidRDefault="00702F2B" w:rsidP="00702F2B">
      <w:pPr>
        <w:spacing w:after="0" w:line="180" w:lineRule="exact"/>
        <w:ind w:left="357"/>
        <w:rPr>
          <w:b/>
        </w:rPr>
      </w:pPr>
      <w:r>
        <w:rPr>
          <w:b/>
        </w:rPr>
        <w:t>Центр обслуживания клиентов ОАО «СУЭНКО» +7 (3452) 53-64-93</w:t>
      </w:r>
    </w:p>
    <w:p w:rsidR="00702F2B" w:rsidRDefault="00702F2B" w:rsidP="00702F2B">
      <w:pPr>
        <w:spacing w:after="0" w:line="180" w:lineRule="exact"/>
        <w:ind w:left="357"/>
        <w:rPr>
          <w:b/>
        </w:rPr>
      </w:pPr>
      <w:r>
        <w:rPr>
          <w:b/>
        </w:rPr>
        <w:lastRenderedPageBreak/>
        <w:t xml:space="preserve">с использованием сервиса «Обратной связи» официального сайта ОАО «СУЭНКО» </w:t>
      </w:r>
      <w:hyperlink r:id="rId6" w:history="1">
        <w:r>
          <w:rPr>
            <w:rStyle w:val="a5"/>
            <w:b/>
            <w:lang w:val="en-US"/>
          </w:rPr>
          <w:t>www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suenco</w:t>
        </w:r>
        <w:proofErr w:type="spellEnd"/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, 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Дополнительно: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Приемная: +7 (3452) 53-60-11 тел./факс: +7 (3452) 53-60-98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Отдел по связям с общественностью: +7 (3452) 53-60-14, 53-60-15,.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625048,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ул.Холодильная</w:t>
      </w:r>
      <w:proofErr w:type="spellEnd"/>
      <w:r>
        <w:rPr>
          <w:i/>
          <w:sz w:val="16"/>
          <w:szCs w:val="16"/>
        </w:rPr>
        <w:t xml:space="preserve">, д. 58 "А", +7 (3452) 503-155           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>
        <w:rPr>
          <w:i/>
          <w:sz w:val="16"/>
          <w:szCs w:val="16"/>
        </w:rPr>
        <w:t>Ямало</w:t>
      </w:r>
      <w:proofErr w:type="spellEnd"/>
      <w:r>
        <w:rPr>
          <w:i/>
          <w:sz w:val="16"/>
          <w:szCs w:val="16"/>
        </w:rPr>
        <w:t xml:space="preserve"> – Ненецкого</w:t>
      </w:r>
      <w:proofErr w:type="gramEnd"/>
      <w:r>
        <w:rPr>
          <w:i/>
          <w:sz w:val="16"/>
          <w:szCs w:val="16"/>
        </w:rPr>
        <w:t xml:space="preserve"> автономного округа </w:t>
      </w:r>
    </w:p>
    <w:p w:rsidR="00702F2B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(РЭК ТО, ХМАО и ЯНАО)</w:t>
      </w:r>
    </w:p>
    <w:p w:rsidR="00702F2B" w:rsidRDefault="00702F2B" w:rsidP="00702F2B">
      <w:pPr>
        <w:spacing w:after="0" w:line="180" w:lineRule="exact"/>
        <w:ind w:firstLine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625000,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ул.Володарского</w:t>
      </w:r>
      <w:proofErr w:type="spellEnd"/>
      <w:r>
        <w:rPr>
          <w:i/>
          <w:sz w:val="16"/>
          <w:szCs w:val="16"/>
        </w:rPr>
        <w:t xml:space="preserve">, д.45, +7 (3452) 46-90-07 </w:t>
      </w:r>
    </w:p>
    <w:p w:rsidR="00702F2B" w:rsidRPr="006411EE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</w:p>
    <w:p w:rsidR="008A1E0B" w:rsidRPr="008A1E0B" w:rsidRDefault="008A1E0B" w:rsidP="00702F2B">
      <w:pPr>
        <w:spacing w:after="0" w:line="180" w:lineRule="exact"/>
        <w:ind w:left="357"/>
        <w:rPr>
          <w:i/>
          <w:sz w:val="16"/>
          <w:szCs w:val="16"/>
        </w:rPr>
      </w:pPr>
    </w:p>
    <w:sectPr w:rsidR="008A1E0B" w:rsidRPr="008A1E0B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47F6A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731FE"/>
    <w:rsid w:val="00195C63"/>
    <w:rsid w:val="001C797D"/>
    <w:rsid w:val="001D73AC"/>
    <w:rsid w:val="00206FB7"/>
    <w:rsid w:val="00211EF2"/>
    <w:rsid w:val="00221CC9"/>
    <w:rsid w:val="00221EC4"/>
    <w:rsid w:val="002276E8"/>
    <w:rsid w:val="0023357A"/>
    <w:rsid w:val="0025067B"/>
    <w:rsid w:val="00283677"/>
    <w:rsid w:val="00292432"/>
    <w:rsid w:val="002B30D8"/>
    <w:rsid w:val="002C0EF7"/>
    <w:rsid w:val="002D49AC"/>
    <w:rsid w:val="002F2D06"/>
    <w:rsid w:val="002F37AC"/>
    <w:rsid w:val="003036CF"/>
    <w:rsid w:val="00310F58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506FB"/>
    <w:rsid w:val="00560360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E3A4F"/>
    <w:rsid w:val="006F0E1B"/>
    <w:rsid w:val="006F712C"/>
    <w:rsid w:val="00702F2B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1E0B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66B15"/>
    <w:rsid w:val="009957C0"/>
    <w:rsid w:val="009B50A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C5182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40DA7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n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Петренко Светлана Михайловна</cp:lastModifiedBy>
  <cp:revision>6</cp:revision>
  <dcterms:created xsi:type="dcterms:W3CDTF">2014-09-02T10:29:00Z</dcterms:created>
  <dcterms:modified xsi:type="dcterms:W3CDTF">2014-09-03T04:31:00Z</dcterms:modified>
</cp:coreProperties>
</file>