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7"/>
        <w:gridCol w:w="3827"/>
        <w:gridCol w:w="7939"/>
        <w:gridCol w:w="850"/>
        <w:gridCol w:w="2411"/>
      </w:tblGrid>
      <w:tr w:rsidR="00774FFD" w:rsidRPr="00257EF2" w:rsidTr="00C84AFB">
        <w:trPr>
          <w:gridAfter w:val="1"/>
          <w:wAfter w:w="2411" w:type="dxa"/>
          <w:trHeight w:val="300"/>
        </w:trPr>
        <w:tc>
          <w:tcPr>
            <w:tcW w:w="14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C22DB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ПАСПОРТ УСЛУГИ (ПРОЦЕССА) </w:t>
            </w:r>
            <w:r w:rsidR="00C22DBB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ОАО «СУЭНКО»*</w:t>
            </w:r>
          </w:p>
        </w:tc>
      </w:tr>
      <w:tr w:rsidR="00774FFD" w:rsidRPr="00257EF2" w:rsidTr="00C84AFB">
        <w:trPr>
          <w:gridAfter w:val="1"/>
          <w:wAfter w:w="2411" w:type="dxa"/>
          <w:trHeight w:val="375"/>
        </w:trPr>
        <w:tc>
          <w:tcPr>
            <w:tcW w:w="14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1920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Технологическое присоединение к электрическим сетям ОА</w:t>
            </w:r>
            <w:proofErr w:type="gramStart"/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О"</w:t>
            </w:r>
            <w:proofErr w:type="gramEnd"/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СУЭНКО" посредством перераспределения максимальной мощности.</w:t>
            </w:r>
          </w:p>
        </w:tc>
      </w:tr>
      <w:tr w:rsidR="00774FFD" w:rsidRPr="00257EF2" w:rsidTr="00C84AFB">
        <w:trPr>
          <w:gridAfter w:val="3"/>
          <w:wAfter w:w="11200" w:type="dxa"/>
          <w:trHeight w:val="300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774FFD" w:rsidRPr="00257EF2" w:rsidTr="00C84AFB">
        <w:trPr>
          <w:trHeight w:val="300"/>
        </w:trPr>
        <w:tc>
          <w:tcPr>
            <w:tcW w:w="16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FD" w:rsidRPr="00257EF2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Круг заявителей: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юридические лица и индивидуальные предприниматели  за исключением заявителей, </w:t>
            </w:r>
            <w:proofErr w:type="spellStart"/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>энергопринимающие</w:t>
            </w:r>
            <w:proofErr w:type="spellEnd"/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устройства которых присоединены к объектам электросетевого хозяйства, соответствующим критериям отнесения объектов к единой национальной (общероссийской) электрической сети, </w:t>
            </w:r>
            <w:r w:rsidR="00957116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заявителей, технологическое присоединение которых осуществлено по одному источнику электроснабжения мощностью до 150 кВт включительно 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и заявителей, не внесших плату за технологическое присоединение </w:t>
            </w:r>
            <w:proofErr w:type="spellStart"/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>энергопринимающих</w:t>
            </w:r>
            <w:proofErr w:type="spellEnd"/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устройств либо внесших такую плату не в полном объеме</w:t>
            </w:r>
            <w:proofErr w:type="gramEnd"/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имеющие на праве собственности или на ином законном основании </w:t>
            </w:r>
            <w:proofErr w:type="spellStart"/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>энергопринимающие</w:t>
            </w:r>
            <w:proofErr w:type="spellEnd"/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устройства, в отношении которых до 1 января 2009 г. в установленном порядке было осуществлено технологическое присоединение к электрическим сетям</w:t>
            </w:r>
          </w:p>
        </w:tc>
      </w:tr>
      <w:tr w:rsidR="00774FFD" w:rsidRPr="00257EF2" w:rsidTr="00C84AFB">
        <w:trPr>
          <w:trHeight w:val="300"/>
        </w:trPr>
        <w:tc>
          <w:tcPr>
            <w:tcW w:w="16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C84AFB">
            <w:pPr>
              <w:tabs>
                <w:tab w:val="left" w:pos="14187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Размер платы за предоставление услуг</w:t>
            </w:r>
            <w:proofErr w:type="gramStart"/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и(</w:t>
            </w:r>
            <w:proofErr w:type="gramEnd"/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процесса) и основание ее взимания: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основании  решений РЭК Тюм</w:t>
            </w:r>
            <w:r w:rsidRPr="00862CAF">
              <w:rPr>
                <w:rFonts w:ascii="Arial" w:eastAsia="Times New Roman" w:hAnsi="Arial" w:cs="Arial"/>
                <w:color w:val="000000"/>
                <w:lang w:eastAsia="ru-RU"/>
              </w:rPr>
              <w:t xml:space="preserve">енской области в соответствии с </w:t>
            </w:r>
            <w:r w:rsidR="00C22DBB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>равилами технологического присоединения</w:t>
            </w:r>
            <w:r w:rsidR="00C22DBB">
              <w:rPr>
                <w:rFonts w:ascii="Arial" w:eastAsia="Times New Roman" w:hAnsi="Arial" w:cs="Arial"/>
                <w:color w:val="000000"/>
                <w:lang w:eastAsia="ru-RU"/>
              </w:rPr>
              <w:t>**</w:t>
            </w:r>
          </w:p>
        </w:tc>
      </w:tr>
      <w:tr w:rsidR="00774FFD" w:rsidRPr="00257EF2" w:rsidTr="00C84AFB">
        <w:trPr>
          <w:trHeight w:val="300"/>
        </w:trPr>
        <w:tc>
          <w:tcPr>
            <w:tcW w:w="16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4FFD" w:rsidRPr="00257EF2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Условия оказания услуг</w:t>
            </w:r>
            <w:r w:rsidRPr="00862CA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</w:t>
            </w: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 xml:space="preserve"> (процесса):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направление в сетевую организацию, к объектам электросетевого хозяйства которой ранее были в установленном порядке присоединены </w:t>
            </w:r>
            <w:proofErr w:type="spellStart"/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>энергопринимающие</w:t>
            </w:r>
            <w:proofErr w:type="spellEnd"/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устройства лица, намеревающегося перераспределить свою максимальную мощность, уведомления о подписании сторонами соглашения о перераспределении максимальной мощности между принадлежащими им </w:t>
            </w:r>
            <w:proofErr w:type="spellStart"/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>энергопринимающими</w:t>
            </w:r>
            <w:proofErr w:type="spellEnd"/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устройствами.</w:t>
            </w:r>
          </w:p>
        </w:tc>
      </w:tr>
      <w:tr w:rsidR="00774FFD" w:rsidRPr="00257EF2" w:rsidTr="00C84AFB">
        <w:trPr>
          <w:trHeight w:val="300"/>
        </w:trPr>
        <w:tc>
          <w:tcPr>
            <w:tcW w:w="16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Результат оказания услуг</w:t>
            </w:r>
            <w:proofErr w:type="gramStart"/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и(</w:t>
            </w:r>
            <w:proofErr w:type="gramEnd"/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процесса):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уменьшение мощности лица</w:t>
            </w:r>
            <w:r w:rsidR="00C22DBB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перераспределяющего мощность в пользу иных лиц, увеличение мощности лица</w:t>
            </w:r>
            <w:r w:rsidR="00C22DBB">
              <w:rPr>
                <w:rFonts w:ascii="Arial" w:eastAsia="Times New Roman" w:hAnsi="Arial" w:cs="Arial"/>
                <w:color w:val="000000"/>
                <w:lang w:eastAsia="ru-RU"/>
              </w:rPr>
              <w:t>,</w:t>
            </w: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 пользу которого она перераспределяется </w:t>
            </w:r>
          </w:p>
        </w:tc>
      </w:tr>
      <w:tr w:rsidR="00774FFD" w:rsidRPr="00257EF2" w:rsidTr="00C84AFB">
        <w:trPr>
          <w:trHeight w:val="300"/>
        </w:trPr>
        <w:tc>
          <w:tcPr>
            <w:tcW w:w="16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>Общий срок оказания услуг</w:t>
            </w:r>
            <w:proofErr w:type="gramStart"/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>и(</w:t>
            </w:r>
            <w:proofErr w:type="gramEnd"/>
            <w:r w:rsidRPr="00257EF2">
              <w:rPr>
                <w:rFonts w:ascii="Arial" w:eastAsia="Times New Roman" w:hAnsi="Arial" w:cs="Arial"/>
                <w:color w:val="000000"/>
                <w:lang w:eastAsia="ru-RU"/>
              </w:rPr>
              <w:t>процесса): в зависимости от параметров технологического присоединения в соответствии с уведомлением</w:t>
            </w:r>
          </w:p>
        </w:tc>
      </w:tr>
      <w:tr w:rsidR="00774FFD" w:rsidRPr="00257EF2" w:rsidTr="00C84AFB">
        <w:trPr>
          <w:gridAfter w:val="2"/>
          <w:wAfter w:w="3261" w:type="dxa"/>
          <w:trHeight w:val="300"/>
        </w:trPr>
        <w:tc>
          <w:tcPr>
            <w:tcW w:w="1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4FFD" w:rsidRPr="00257EF2" w:rsidRDefault="00774FFD" w:rsidP="001920A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57EF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Состав, последовательность и сроки оказания услуги (процесса):</w:t>
            </w:r>
          </w:p>
        </w:tc>
      </w:tr>
    </w:tbl>
    <w:tbl>
      <w:tblPr>
        <w:tblStyle w:val="a3"/>
        <w:tblW w:w="163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3827"/>
        <w:gridCol w:w="2977"/>
        <w:gridCol w:w="4678"/>
        <w:gridCol w:w="1842"/>
      </w:tblGrid>
      <w:tr w:rsidR="00774FFD" w:rsidRPr="00774FFD" w:rsidTr="00C84AFB">
        <w:trPr>
          <w:trHeight w:val="600"/>
        </w:trPr>
        <w:tc>
          <w:tcPr>
            <w:tcW w:w="567" w:type="dxa"/>
            <w:hideMark/>
          </w:tcPr>
          <w:p w:rsidR="00774FFD" w:rsidRPr="00774FFD" w:rsidRDefault="00774FFD" w:rsidP="00774F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10" w:type="dxa"/>
            <w:hideMark/>
          </w:tcPr>
          <w:p w:rsidR="00774FFD" w:rsidRPr="00774FFD" w:rsidRDefault="00774FFD" w:rsidP="00774F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Этап</w:t>
            </w:r>
          </w:p>
        </w:tc>
        <w:tc>
          <w:tcPr>
            <w:tcW w:w="3827" w:type="dxa"/>
            <w:hideMark/>
          </w:tcPr>
          <w:p w:rsidR="00774FFD" w:rsidRPr="00774FFD" w:rsidRDefault="00774FFD" w:rsidP="00774F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Содержание/ Условие этапа</w:t>
            </w:r>
          </w:p>
        </w:tc>
        <w:tc>
          <w:tcPr>
            <w:tcW w:w="2977" w:type="dxa"/>
            <w:hideMark/>
          </w:tcPr>
          <w:p w:rsidR="00774FFD" w:rsidRPr="00774FFD" w:rsidRDefault="00774FFD" w:rsidP="00774F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Форма предоставления</w:t>
            </w:r>
          </w:p>
        </w:tc>
        <w:tc>
          <w:tcPr>
            <w:tcW w:w="4678" w:type="dxa"/>
            <w:hideMark/>
          </w:tcPr>
          <w:p w:rsidR="00774FFD" w:rsidRPr="00774FFD" w:rsidRDefault="00774FFD" w:rsidP="00774F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Сроки исполнения</w:t>
            </w:r>
          </w:p>
        </w:tc>
        <w:tc>
          <w:tcPr>
            <w:tcW w:w="1842" w:type="dxa"/>
            <w:hideMark/>
          </w:tcPr>
          <w:p w:rsidR="00774FFD" w:rsidRPr="00774FFD" w:rsidRDefault="00774FFD" w:rsidP="00774FF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74FF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Ссылка на правовой нормативный акт</w:t>
            </w:r>
          </w:p>
        </w:tc>
      </w:tr>
      <w:tr w:rsidR="00774FFD" w:rsidRPr="00774FFD" w:rsidTr="00C84AFB">
        <w:trPr>
          <w:trHeight w:val="2242"/>
        </w:trPr>
        <w:tc>
          <w:tcPr>
            <w:tcW w:w="567" w:type="dxa"/>
            <w:hideMark/>
          </w:tcPr>
          <w:p w:rsidR="00774FFD" w:rsidRPr="00774FFD" w:rsidRDefault="00774FFD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hideMark/>
          </w:tcPr>
          <w:p w:rsidR="00774FFD" w:rsidRPr="00774FFD" w:rsidRDefault="00774FFD" w:rsidP="007A5C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="007A5CF1"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одача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уведомления о заключении соглашения о перераспределении мощности. </w:t>
            </w:r>
          </w:p>
        </w:tc>
        <w:tc>
          <w:tcPr>
            <w:tcW w:w="3827" w:type="dxa"/>
            <w:hideMark/>
          </w:tcPr>
          <w:p w:rsidR="00774FFD" w:rsidRPr="00774FFD" w:rsidRDefault="00774FFD" w:rsidP="007A5C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уведомлении указываются наименования и реквизиты сторон соглашения о перераспределении мощности, центр питания, к которому осуществлено технологическое присоединение </w:t>
            </w:r>
            <w:proofErr w:type="spellStart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устройств лица, намеревающегося перераспределить свою максимальную мощность, местонахождение этих устройств (электрических сетей) и объем перераспределяемой мощности. 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уведомлению прилагаются</w:t>
            </w:r>
            <w:r w:rsidR="007A5CF1"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B6011"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документы в соответствии с Правилами технологического присоединения</w:t>
            </w:r>
          </w:p>
        </w:tc>
        <w:tc>
          <w:tcPr>
            <w:tcW w:w="2977" w:type="dxa"/>
            <w:hideMark/>
          </w:tcPr>
          <w:p w:rsidR="00774FFD" w:rsidRPr="00774FFD" w:rsidRDefault="00774FFD" w:rsidP="00CB601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Подача уведомления лично или через уполномоченного представителя или в 2 экземплярах письмом с описью вложения. 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4678" w:type="dxa"/>
            <w:hideMark/>
          </w:tcPr>
          <w:p w:rsidR="00774FFD" w:rsidRPr="00774FFD" w:rsidRDefault="00774FFD" w:rsidP="00CB601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r w:rsidR="00CB6011"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день обращения</w:t>
            </w:r>
          </w:p>
        </w:tc>
        <w:tc>
          <w:tcPr>
            <w:tcW w:w="1842" w:type="dxa"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A5CF1" w:rsidRPr="00774FFD" w:rsidTr="00C84AFB">
        <w:trPr>
          <w:trHeight w:val="800"/>
        </w:trPr>
        <w:tc>
          <w:tcPr>
            <w:tcW w:w="567" w:type="dxa"/>
          </w:tcPr>
          <w:p w:rsidR="007A5CF1" w:rsidRPr="00854556" w:rsidRDefault="00CB6011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</w:tcPr>
          <w:p w:rsidR="007A5CF1" w:rsidRPr="00854556" w:rsidRDefault="00CB6011" w:rsidP="007A5CF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Рассмотрение уведомления, проверка прилагаемых документов.</w:t>
            </w:r>
          </w:p>
        </w:tc>
        <w:tc>
          <w:tcPr>
            <w:tcW w:w="3827" w:type="dxa"/>
          </w:tcPr>
          <w:p w:rsidR="007A5CF1" w:rsidRPr="00854556" w:rsidRDefault="00CB6011" w:rsidP="00CB601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сведений и документов, прилагаемых к уведомлению.</w:t>
            </w:r>
          </w:p>
        </w:tc>
        <w:tc>
          <w:tcPr>
            <w:tcW w:w="2977" w:type="dxa"/>
          </w:tcPr>
          <w:p w:rsidR="007A5CF1" w:rsidRPr="00854556" w:rsidRDefault="00CB6011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Письменное уведомление</w:t>
            </w:r>
            <w:r w:rsidR="00C22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потребителя в случае отсутствия</w:t>
            </w: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предусмотренных законодательством РФ сведений или документов.</w:t>
            </w:r>
          </w:p>
        </w:tc>
        <w:tc>
          <w:tcPr>
            <w:tcW w:w="4678" w:type="dxa"/>
          </w:tcPr>
          <w:p w:rsidR="007A5CF1" w:rsidRPr="00854556" w:rsidRDefault="00CB6011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течение 6 рабочих дней </w:t>
            </w:r>
            <w:proofErr w:type="gramStart"/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даты получения</w:t>
            </w:r>
            <w:proofErr w:type="gramEnd"/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уведомления.</w:t>
            </w:r>
          </w:p>
        </w:tc>
        <w:tc>
          <w:tcPr>
            <w:tcW w:w="1842" w:type="dxa"/>
          </w:tcPr>
          <w:p w:rsidR="007A5CF1" w:rsidRPr="00854556" w:rsidRDefault="003C21E4" w:rsidP="00774F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C21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</w:t>
            </w:r>
            <w:r w:rsidR="00E8715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C21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Правил технологического присо</w:t>
            </w:r>
            <w:r w:rsidR="00C22DB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единения к электрическим сетям.</w:t>
            </w:r>
          </w:p>
        </w:tc>
      </w:tr>
      <w:tr w:rsidR="00774FFD" w:rsidRPr="00774FFD" w:rsidTr="00C84AFB">
        <w:trPr>
          <w:trHeight w:val="1843"/>
        </w:trPr>
        <w:tc>
          <w:tcPr>
            <w:tcW w:w="567" w:type="dxa"/>
            <w:hideMark/>
          </w:tcPr>
          <w:p w:rsidR="00774FFD" w:rsidRPr="00774FFD" w:rsidRDefault="00CB6011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Разработка технических условий для получателя перераспределения</w:t>
            </w:r>
          </w:p>
        </w:tc>
        <w:tc>
          <w:tcPr>
            <w:tcW w:w="3827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Технические условия являются неотъемлемой частью договора технологического присоединения, в них указывается точка присоединения, максимальная мощность, распределения обязанностей между сторонами по исполнению технических условий, требования к приборам учета, к усилению существующей сети и т.д.</w:t>
            </w:r>
          </w:p>
        </w:tc>
        <w:tc>
          <w:tcPr>
            <w:tcW w:w="2977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Технические условия предоставляются заявителю совместно с офертой договора технологического присоединения (Приложение №1 договора). </w:t>
            </w:r>
          </w:p>
        </w:tc>
        <w:tc>
          <w:tcPr>
            <w:tcW w:w="4678" w:type="dxa"/>
            <w:hideMark/>
          </w:tcPr>
          <w:p w:rsidR="00774FFD" w:rsidRPr="00774FFD" w:rsidRDefault="00774FFD" w:rsidP="00C22DB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течение 30 дней. Указанный срок </w:t>
            </w:r>
            <w:r w:rsidR="00CB6011"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может быть продлен по основаниям, предусмотренным 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Правилами технологического присоединения к электрическим сетям.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1842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25-26 Правил технологического присоединения к электрическим сетям.</w:t>
            </w:r>
          </w:p>
        </w:tc>
      </w:tr>
      <w:tr w:rsidR="00774FFD" w:rsidRPr="00774FFD" w:rsidTr="00C84AFB">
        <w:trPr>
          <w:trHeight w:val="2694"/>
        </w:trPr>
        <w:tc>
          <w:tcPr>
            <w:tcW w:w="567" w:type="dxa"/>
            <w:hideMark/>
          </w:tcPr>
          <w:p w:rsidR="00774FFD" w:rsidRPr="00774FFD" w:rsidRDefault="00CB6011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0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Разработка технических условий для лица, максимальная мощность </w:t>
            </w:r>
            <w:proofErr w:type="spellStart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устройств которого перераспределяется</w:t>
            </w:r>
          </w:p>
        </w:tc>
        <w:tc>
          <w:tcPr>
            <w:tcW w:w="3827" w:type="dxa"/>
            <w:hideMark/>
          </w:tcPr>
          <w:p w:rsidR="00774FFD" w:rsidRPr="00774FFD" w:rsidRDefault="00774FFD" w:rsidP="007626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Изменения, вносимые в технические условия, направляемые сетевой организацией лицу, максимальная мощность </w:t>
            </w:r>
            <w:proofErr w:type="spellStart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устройств которого перераспределяется, должны содержать сведения:</w:t>
            </w:r>
            <w:proofErr w:type="gramStart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</w:t>
            </w:r>
            <w:proofErr w:type="gramEnd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величине максимальной мощности объектов заявителя;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-о мероприятиях по перераспределению максимальной мощности по точкам присоединения</w:t>
            </w:r>
            <w:r w:rsidR="007626AF"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7626AF"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установке (замене) устройств, обеспечивающих контроль величины максимальной мощности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-о требованиях к релейной защите и автоматике.</w:t>
            </w:r>
          </w:p>
        </w:tc>
        <w:tc>
          <w:tcPr>
            <w:tcW w:w="2977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Технические условия направляются лицу, максимальная мощность которого перераспределяется. Заключение договора технологического присоединения не требуется.  </w:t>
            </w:r>
          </w:p>
        </w:tc>
        <w:tc>
          <w:tcPr>
            <w:tcW w:w="4678" w:type="dxa"/>
            <w:hideMark/>
          </w:tcPr>
          <w:p w:rsidR="00774FFD" w:rsidRPr="00774FFD" w:rsidRDefault="00774FFD" w:rsidP="007626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позднее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мощности.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 Указанный срок </w:t>
            </w:r>
            <w:r w:rsidR="007626AF"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может быть продлен 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случаях предусмотренных Правилами технологического присоединения к электрическим сетям.</w:t>
            </w:r>
          </w:p>
        </w:tc>
        <w:tc>
          <w:tcPr>
            <w:tcW w:w="1842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25-26 Правил технологического присоединения к электрическим сетям.</w:t>
            </w:r>
          </w:p>
        </w:tc>
      </w:tr>
      <w:tr w:rsidR="00774FFD" w:rsidRPr="00774FFD" w:rsidTr="00C84AFB">
        <w:trPr>
          <w:trHeight w:val="1257"/>
        </w:trPr>
        <w:tc>
          <w:tcPr>
            <w:tcW w:w="567" w:type="dxa"/>
            <w:hideMark/>
          </w:tcPr>
          <w:p w:rsidR="00774FFD" w:rsidRPr="00774FFD" w:rsidRDefault="007626AF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Подготовка и направление договора технологического присоединения.</w:t>
            </w:r>
          </w:p>
        </w:tc>
        <w:tc>
          <w:tcPr>
            <w:tcW w:w="3827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Сетевая организация направляет заполненный и подписанный ею проект договора в 2 экземплярах и технические условия как неотъемлемое приложение к договору.</w:t>
            </w:r>
          </w:p>
        </w:tc>
        <w:tc>
          <w:tcPr>
            <w:tcW w:w="2977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Оферта договора технологического присоединения вручается лично заявителю, его уполномоченному представителю либо направляется почтой заказным письмом в 2-х экземплярах.</w:t>
            </w:r>
          </w:p>
        </w:tc>
        <w:tc>
          <w:tcPr>
            <w:tcW w:w="4678" w:type="dxa"/>
            <w:hideMark/>
          </w:tcPr>
          <w:p w:rsidR="00774FFD" w:rsidRPr="00774FFD" w:rsidRDefault="00774FFD" w:rsidP="007626A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30 дней</w:t>
            </w:r>
            <w:r w:rsidR="007626AF"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Указанный срок может быть продлен в случаях предусмотренных Правилами технологического присоединения к электрическим сетям</w:t>
            </w:r>
          </w:p>
        </w:tc>
        <w:tc>
          <w:tcPr>
            <w:tcW w:w="1842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15,16 Правил технологического присоединения к электрическим сетям.</w:t>
            </w:r>
          </w:p>
        </w:tc>
      </w:tr>
      <w:tr w:rsidR="00774FFD" w:rsidRPr="00774FFD" w:rsidTr="00C84AFB">
        <w:trPr>
          <w:trHeight w:val="1888"/>
        </w:trPr>
        <w:tc>
          <w:tcPr>
            <w:tcW w:w="567" w:type="dxa"/>
            <w:hideMark/>
          </w:tcPr>
          <w:p w:rsidR="00774FFD" w:rsidRPr="00774FFD" w:rsidRDefault="007626AF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410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Подписание получателем перераспределения мощности договора технологического присоединения.</w:t>
            </w:r>
          </w:p>
        </w:tc>
        <w:tc>
          <w:tcPr>
            <w:tcW w:w="3827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Заявитель подписывает оба экземпляра проекта договора.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="007626AF"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Заявитель направляет мотивированный отказ от подписания проекта договора с предложением об изменении представленного проекта договора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 xml:space="preserve">Договор считается заключенным </w:t>
            </w:r>
            <w:proofErr w:type="gramStart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даты поступления</w:t>
            </w:r>
            <w:proofErr w:type="gramEnd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подписанного заявителем экземпляра договора технологического присоединения в сетевую организацию.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2977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Направляет 1 экземпляр подписанного договора технологического присоединения сетевой организации с приложением к нему документов, подтверждающих полномочия лица, подписавшего такой договор.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  <w:t>Направляет мотивированный отказ в сетевую организацию заказным письмом с уведомлением о вручении.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4678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течение 30 дней </w:t>
            </w:r>
            <w:proofErr w:type="gramStart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 даты получения</w:t>
            </w:r>
            <w:proofErr w:type="gramEnd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подписанного сетевой организацией договора ТП.</w:t>
            </w:r>
          </w:p>
        </w:tc>
        <w:tc>
          <w:tcPr>
            <w:tcW w:w="1842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15 Правил технологического присоединения к электрическим сетям.</w:t>
            </w:r>
          </w:p>
        </w:tc>
      </w:tr>
      <w:tr w:rsidR="00774FFD" w:rsidRPr="00774FFD" w:rsidTr="00C84AFB">
        <w:trPr>
          <w:trHeight w:val="3402"/>
        </w:trPr>
        <w:tc>
          <w:tcPr>
            <w:tcW w:w="567" w:type="dxa"/>
            <w:hideMark/>
          </w:tcPr>
          <w:p w:rsidR="00774FFD" w:rsidRPr="00774FFD" w:rsidRDefault="007626AF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410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Оплата услуг за технологическое присоединение к сетям сетевой организации.</w:t>
            </w:r>
          </w:p>
        </w:tc>
        <w:tc>
          <w:tcPr>
            <w:tcW w:w="3827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Оплата осуществляется на расчетный счет сетевой организации.</w:t>
            </w:r>
          </w:p>
        </w:tc>
        <w:tc>
          <w:tcPr>
            <w:tcW w:w="2977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Любым, удобным для заявителя способом.</w:t>
            </w:r>
          </w:p>
        </w:tc>
        <w:tc>
          <w:tcPr>
            <w:tcW w:w="4678" w:type="dxa"/>
            <w:hideMark/>
          </w:tcPr>
          <w:p w:rsidR="00774FFD" w:rsidRPr="00774FFD" w:rsidRDefault="00C22DBB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Производит</w:t>
            </w:r>
            <w:r w:rsidR="00774FFD"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ся в следующем порядке:</w:t>
            </w:r>
            <w:r w:rsidR="00774FFD"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а) 15 процентов платы за технологическое присоединение вносятся в течение 15 дней с даты заключения договора;</w:t>
            </w:r>
            <w:r w:rsidR="00774FFD"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б) 30 процентов платы за технологическое присоединение вносятся в течение 60 дней с даты заключения договора, но не позже даты фактического присоединения;</w:t>
            </w:r>
            <w:r w:rsidR="00774FFD"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в) 45 процентов платы за технологическое присоединение вносятся в течение 15 дней со дня фактического присоединения;</w:t>
            </w:r>
            <w:proofErr w:type="gramEnd"/>
            <w:r w:rsidR="00774FFD"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г) 10 процентов платы за технологическое присоединение вносятся в течение 15 дней со дня подписания акта об осуществлении технологического присоединения.</w:t>
            </w:r>
          </w:p>
        </w:tc>
        <w:tc>
          <w:tcPr>
            <w:tcW w:w="1842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 16(2) Правил технологического присоединения к электрическим сетям.</w:t>
            </w:r>
          </w:p>
        </w:tc>
      </w:tr>
      <w:tr w:rsidR="00774FFD" w:rsidRPr="00774FFD" w:rsidTr="00C84AFB">
        <w:trPr>
          <w:trHeight w:val="841"/>
        </w:trPr>
        <w:tc>
          <w:tcPr>
            <w:tcW w:w="567" w:type="dxa"/>
            <w:hideMark/>
          </w:tcPr>
          <w:p w:rsidR="00774FFD" w:rsidRPr="00774FFD" w:rsidRDefault="007626AF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410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получателем перераспределения мощности мероприятий по технологическому присоединению, указанных в технических условиях.</w:t>
            </w:r>
          </w:p>
        </w:tc>
        <w:tc>
          <w:tcPr>
            <w:tcW w:w="3827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заявителем фактических работ, обязанность по выполнению которых лежит на заявителе в соответствии с техническими условиями.</w:t>
            </w:r>
          </w:p>
        </w:tc>
        <w:tc>
          <w:tcPr>
            <w:tcW w:w="2977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8" w:type="dxa"/>
            <w:hideMark/>
          </w:tcPr>
          <w:p w:rsidR="00774FFD" w:rsidRPr="00774FFD" w:rsidRDefault="00774FFD" w:rsidP="00774FFD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 технологическом присоединении таких лиц к электрическим сетям классом напряжения до 20 </w:t>
            </w:r>
            <w:proofErr w:type="spellStart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включительно, если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энергопринимающие</w:t>
            </w:r>
            <w:proofErr w:type="spellEnd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местности: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120 дней - для заявителей, максимальная мощность </w:t>
            </w:r>
            <w:proofErr w:type="spellStart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устройств которых</w:t>
            </w:r>
            <w:proofErr w:type="gramEnd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составляет до 670 кВт;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1 год - для заявителей, максимальная мощность </w:t>
            </w:r>
            <w:proofErr w:type="spellStart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устройств которых составляет свыше 670 кВт;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случае если необходимо выполнить работы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организаций: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6 месяцев - если технологическое присоединение осуществляется к электрическим сетям, уровень напряжения которых составляет до 20 </w:t>
            </w:r>
            <w:proofErr w:type="spellStart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включительно, и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      </w:r>
            <w:proofErr w:type="spellStart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энергопринимающие</w:t>
            </w:r>
            <w:proofErr w:type="spellEnd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устройства, составляет не более</w:t>
            </w:r>
            <w:proofErr w:type="gramEnd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300 метров в городах и поселках городского типа и не более 500 метров в сельской местности;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1 год - для заявителей, максимальная мощность </w:t>
            </w:r>
            <w:proofErr w:type="spellStart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устройств которых составляет менее 670 кВт, если более короткие сроки не предусмотрены инвестиционной программой соответствующей сетевой организации или соглашением сторон;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2 года - для заявителей, максимальная мощность </w:t>
            </w:r>
            <w:proofErr w:type="spellStart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устройств которых составляет 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не менее 670 кВт, если иные сроки (но не более 4 лет) не предусмотрены инвестиционной программой соответствующей сетевой орга</w:t>
            </w:r>
            <w:r w:rsidR="00854556"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низации или соглашением сторон;</w:t>
            </w:r>
          </w:p>
        </w:tc>
        <w:tc>
          <w:tcPr>
            <w:tcW w:w="1842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п.п</w:t>
            </w:r>
            <w:proofErr w:type="spellEnd"/>
            <w:r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16,37 Правил технологического присоединения к электрическим сетям.</w:t>
            </w:r>
          </w:p>
        </w:tc>
      </w:tr>
      <w:tr w:rsidR="00774FFD" w:rsidRPr="00774FFD" w:rsidTr="00C84AFB">
        <w:trPr>
          <w:trHeight w:val="2595"/>
        </w:trPr>
        <w:tc>
          <w:tcPr>
            <w:tcW w:w="567" w:type="dxa"/>
            <w:hideMark/>
          </w:tcPr>
          <w:p w:rsidR="00774FFD" w:rsidRPr="00774FFD" w:rsidRDefault="007626AF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2410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Выполнение мероприятий по технологическому присоединению, указанных в технических условиях лицом, максимальная мощность </w:t>
            </w:r>
            <w:proofErr w:type="spellStart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устройств которого перераспределяется.</w:t>
            </w:r>
          </w:p>
        </w:tc>
        <w:tc>
          <w:tcPr>
            <w:tcW w:w="3827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Выполнение фактических работ в соответствии с техническими условиями.</w:t>
            </w:r>
          </w:p>
        </w:tc>
        <w:tc>
          <w:tcPr>
            <w:tcW w:w="2977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78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пределах срока</w:t>
            </w:r>
            <w:r w:rsidR="00C22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установленного договором для получателя перераспределения.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r w:rsidR="00C22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До выполнения в полном объеме технических условий лицом, максимальная мощность которого перераспределяется, а также лицом, в пользу которого осуществляется перераспределение мощности, присоединение </w:t>
            </w:r>
            <w:proofErr w:type="spellStart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энергопринимающих</w:t>
            </w:r>
            <w:proofErr w:type="spellEnd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устройств лица, в пользу которого перераспределена максимальная мощность, не производится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  <w:proofErr w:type="gramEnd"/>
          </w:p>
        </w:tc>
        <w:tc>
          <w:tcPr>
            <w:tcW w:w="1842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16,37 Правил технологического присоединения к электрическим сетям.</w:t>
            </w:r>
          </w:p>
        </w:tc>
      </w:tr>
      <w:tr w:rsidR="00774FFD" w:rsidRPr="00774FFD" w:rsidTr="00C84AFB">
        <w:trPr>
          <w:trHeight w:val="2433"/>
        </w:trPr>
        <w:tc>
          <w:tcPr>
            <w:tcW w:w="567" w:type="dxa"/>
            <w:vMerge w:val="restart"/>
            <w:hideMark/>
          </w:tcPr>
          <w:p w:rsidR="00774FFD" w:rsidRPr="00774FFD" w:rsidRDefault="007626AF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410" w:type="dxa"/>
            <w:vMerge w:val="restart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Проверка выполнения технических условий.</w:t>
            </w:r>
          </w:p>
        </w:tc>
        <w:tc>
          <w:tcPr>
            <w:tcW w:w="3827" w:type="dxa"/>
            <w:vMerge w:val="restart"/>
            <w:hideMark/>
          </w:tcPr>
          <w:p w:rsidR="00774FFD" w:rsidRPr="00774FFD" w:rsidRDefault="00774FFD" w:rsidP="007626AF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Осуществляется на основании уведомления заявителем сетевой организации о выполнении технических условий с приложением </w:t>
            </w:r>
            <w:r w:rsidR="007626AF"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документов, предусмотренных Правилами технологического присоединения к электрическим сетям.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</w:tc>
        <w:tc>
          <w:tcPr>
            <w:tcW w:w="2977" w:type="dxa"/>
            <w:hideMark/>
          </w:tcPr>
          <w:p w:rsidR="00774FFD" w:rsidRPr="00774FFD" w:rsidRDefault="007626AF" w:rsidP="00854556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r w:rsidR="00774FFD"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роверка соответствия технических решений, параметров оборудования (устройств) и проведенных мероприятий, указанных в документах, представленных заявителем, тр</w:t>
            </w:r>
            <w:r w:rsid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ебованиям технических условий;</w:t>
            </w:r>
            <w:r w:rsid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="00774FFD"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осмотр сетевой организацией присоединяемых электроустаново</w:t>
            </w:r>
            <w:r w:rsid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заявителя.</w:t>
            </w:r>
          </w:p>
        </w:tc>
        <w:tc>
          <w:tcPr>
            <w:tcW w:w="4678" w:type="dxa"/>
            <w:hideMark/>
          </w:tcPr>
          <w:p w:rsidR="00A16657" w:rsidRDefault="00A16657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</w:t>
            </w:r>
            <w:r w:rsidRPr="00A166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дня составления документов о технологическом присоединении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A1665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C22DBB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течение 10 дней</w:t>
            </w:r>
            <w:r w:rsidR="00C22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22DBB"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 дня получения сетевой организацией уведомления от заявителя о выполнении им технических условий</w:t>
            </w:r>
            <w:r w:rsidR="00C22D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="00C22DBB"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774FFD" w:rsidRPr="00774FFD" w:rsidRDefault="00C22DBB" w:rsidP="00C22E7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ибо </w:t>
            </w:r>
            <w:r w:rsidR="00C22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наличии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замечаний</w:t>
            </w:r>
            <w:r w:rsidR="00C22E7B" w:rsidRPr="00C22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</w:t>
            </w:r>
            <w:r w:rsidR="00774FFD"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74FFD"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Акт осмотра (обследования) электроустановок с замечаниями, подлежащими устранению заявителем. </w:t>
            </w:r>
            <w:bookmarkStart w:id="0" w:name="_GoBack"/>
            <w:bookmarkEnd w:id="0"/>
            <w:r w:rsidR="00774FFD"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Повторный осмотр электроустановки заявителя осуществляется не позднее 3 рабочих дней после получения </w:t>
            </w:r>
            <w:proofErr w:type="gramStart"/>
            <w:r w:rsidR="00774FFD"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 него уведомления об устранении замечаний с приложением информации о принятых мерах по их устранению</w:t>
            </w:r>
            <w:proofErr w:type="gramEnd"/>
            <w:r w:rsidR="00774FFD"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42" w:type="dxa"/>
            <w:vMerge w:val="restart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40(3),81-102 Правил технологического присоединения к электрическим сетям.</w:t>
            </w:r>
          </w:p>
        </w:tc>
      </w:tr>
      <w:tr w:rsidR="007A5CF1" w:rsidRPr="00774FFD" w:rsidTr="00A16657">
        <w:trPr>
          <w:trHeight w:val="2887"/>
        </w:trPr>
        <w:tc>
          <w:tcPr>
            <w:tcW w:w="567" w:type="dxa"/>
            <w:vMerge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hideMark/>
          </w:tcPr>
          <w:p w:rsidR="00774FFD" w:rsidRPr="00774FFD" w:rsidRDefault="00774FFD" w:rsidP="007626A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 осмотра (обследования) электроустановки и Акта о выполнении технических условий.</w:t>
            </w:r>
          </w:p>
        </w:tc>
        <w:tc>
          <w:tcPr>
            <w:tcW w:w="4678" w:type="dxa"/>
            <w:hideMark/>
          </w:tcPr>
          <w:p w:rsidR="00774FFD" w:rsidRPr="00774FFD" w:rsidRDefault="00774FFD" w:rsidP="00774FFD">
            <w:pPr>
              <w:spacing w:after="240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течение 10 дней со дня получения сетевой организацией уведомления от заявителя о выполнении им технических условий </w:t>
            </w:r>
            <w:r w:rsidR="00C22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либо уведомления об устранении замечаний</w:t>
            </w:r>
            <w:r w:rsidR="00C22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 их наличии)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течение 25 дней со дня получения сетевой организацией уведомления от заявителя о выполнении им технических условий либо уведомления об устранении замечаний в случае проверки выполнения мероприятий с участием субъекта оперативно-диспетчерского управления.</w:t>
            </w:r>
            <w:proofErr w:type="gramEnd"/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До дня составления документов о </w:t>
            </w:r>
            <w:r w:rsidR="00854556"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технологическом присоединении</w:t>
            </w:r>
            <w:r w:rsidR="00C22E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="00854556"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2" w:type="dxa"/>
            <w:vMerge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74FFD" w:rsidRPr="00774FFD" w:rsidTr="00C84AFB">
        <w:trPr>
          <w:trHeight w:val="2684"/>
        </w:trPr>
        <w:tc>
          <w:tcPr>
            <w:tcW w:w="567" w:type="dxa"/>
            <w:hideMark/>
          </w:tcPr>
          <w:p w:rsidR="00774FFD" w:rsidRPr="00774FFD" w:rsidRDefault="007626AF" w:rsidP="00774FF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85455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2410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Выдача документов по окончании осуществления технологического присоединения посредством перераспределения мощности.</w:t>
            </w:r>
          </w:p>
        </w:tc>
        <w:tc>
          <w:tcPr>
            <w:tcW w:w="3827" w:type="dxa"/>
            <w:hideMark/>
          </w:tcPr>
          <w:p w:rsidR="00C84AFB" w:rsidRDefault="00C84AFB" w:rsidP="00C84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341">
              <w:rPr>
                <w:rFonts w:ascii="Arial" w:hAnsi="Arial" w:cs="Arial"/>
                <w:color w:val="000000"/>
                <w:sz w:val="18"/>
                <w:szCs w:val="18"/>
              </w:rPr>
              <w:t>Выдача актов об осуществлении технологического присоединения:</w:t>
            </w:r>
          </w:p>
          <w:p w:rsidR="00C84AFB" w:rsidRDefault="00C84AFB" w:rsidP="00C84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341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 xml:space="preserve">-акта об осуществлении технологического присоединения </w:t>
            </w:r>
            <w:proofErr w:type="gramStart"/>
            <w:r w:rsidRPr="00525341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  <w:t>-</w:t>
            </w:r>
            <w:proofErr w:type="gramEnd"/>
            <w:r w:rsidRPr="00525341">
              <w:rPr>
                <w:rFonts w:ascii="Arial" w:hAnsi="Arial" w:cs="Arial"/>
                <w:color w:val="000000"/>
                <w:sz w:val="18"/>
                <w:szCs w:val="18"/>
              </w:rPr>
              <w:t>акта разграничения границ балансовой принадлежности сторон</w:t>
            </w:r>
            <w:r w:rsidRPr="00525341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</w:r>
          </w:p>
          <w:p w:rsidR="00C84AFB" w:rsidRDefault="00C84AFB" w:rsidP="00C84AF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5341">
              <w:rPr>
                <w:rFonts w:ascii="Arial" w:hAnsi="Arial" w:cs="Arial"/>
                <w:color w:val="000000"/>
                <w:sz w:val="18"/>
                <w:szCs w:val="18"/>
              </w:rPr>
              <w:t>-акта разграничения эксплуатационной ответственности сторон</w:t>
            </w:r>
          </w:p>
          <w:p w:rsidR="00774FFD" w:rsidRPr="00774FFD" w:rsidRDefault="00774FFD" w:rsidP="00C84AFB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-акта согласования технологической и (или) аварийной брони (для  заявителей, ограничение режима потребления электрической энергии (мощности) которых может привести к экономическим, экологическим, социальным последствиям).</w:t>
            </w: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page"/>
            </w:r>
          </w:p>
        </w:tc>
        <w:tc>
          <w:tcPr>
            <w:tcW w:w="2977" w:type="dxa"/>
            <w:hideMark/>
          </w:tcPr>
          <w:p w:rsidR="00774FFD" w:rsidRPr="00774FFD" w:rsidRDefault="00774FFD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7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Вручается лично заявителю, его уполномоченному представителю либо направляется почтой заказным письмом.</w:t>
            </w:r>
          </w:p>
        </w:tc>
        <w:tc>
          <w:tcPr>
            <w:tcW w:w="4678" w:type="dxa"/>
            <w:hideMark/>
          </w:tcPr>
          <w:p w:rsidR="00774FFD" w:rsidRPr="00774FFD" w:rsidRDefault="00C84AFB" w:rsidP="00774FFD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 течение 1</w:t>
            </w:r>
            <w:r w:rsidRPr="00525341">
              <w:rPr>
                <w:rFonts w:ascii="Arial" w:hAnsi="Arial" w:cs="Arial"/>
                <w:color w:val="000000"/>
                <w:sz w:val="18"/>
                <w:szCs w:val="18"/>
              </w:rPr>
              <w:t xml:space="preserve">0 дней со дня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завершения проверки выполнения мероприятий заявителем</w:t>
            </w:r>
          </w:p>
        </w:tc>
        <w:tc>
          <w:tcPr>
            <w:tcW w:w="1842" w:type="dxa"/>
            <w:hideMark/>
          </w:tcPr>
          <w:p w:rsidR="00774FFD" w:rsidRPr="00774FFD" w:rsidRDefault="00774FFD" w:rsidP="00A01B6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п.п</w:t>
            </w:r>
            <w:proofErr w:type="spellEnd"/>
            <w:r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19</w:t>
            </w:r>
            <w:r w:rsidR="007626AF" w:rsidRPr="0085455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774FF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Правил технологического присоединения к электрическим сетям.</w:t>
            </w:r>
          </w:p>
        </w:tc>
      </w:tr>
    </w:tbl>
    <w:p w:rsidR="00774FFD" w:rsidRDefault="00774FFD" w:rsidP="00E87153">
      <w:pPr>
        <w:spacing w:line="180" w:lineRule="exact"/>
      </w:pPr>
    </w:p>
    <w:p w:rsidR="00C22DBB" w:rsidRDefault="00C22DBB" w:rsidP="00C22DBB">
      <w:pPr>
        <w:spacing w:after="0" w:line="180" w:lineRule="exact"/>
        <w:ind w:left="357"/>
      </w:pPr>
      <w:r>
        <w:t>* - Действие настоящего паспорта не распространяется на «Тепло Тюмени» - филиал ОАО «СУЭНКО».</w:t>
      </w:r>
    </w:p>
    <w:p w:rsidR="00C22DBB" w:rsidRDefault="00C22DBB" w:rsidP="00C22DBB">
      <w:pPr>
        <w:spacing w:after="0" w:line="180" w:lineRule="exact"/>
        <w:ind w:left="357"/>
      </w:pPr>
    </w:p>
    <w:p w:rsidR="00C22DBB" w:rsidRDefault="00C22DBB" w:rsidP="00C22DBB">
      <w:pPr>
        <w:spacing w:after="0" w:line="180" w:lineRule="exact"/>
        <w:ind w:left="357"/>
      </w:pPr>
      <w:r>
        <w:t xml:space="preserve">** - "Правила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 по производству электрической энергии, а так же объектов электросетевого хозяйства, принадлежащих сетевым организациям и иным лицам к электрическим сетям",  Утверждены Постановлением Правительства Российской Федерации от 27 декабря 2004 г. N 861</w:t>
      </w:r>
    </w:p>
    <w:p w:rsidR="00C22DBB" w:rsidRDefault="00C22DBB" w:rsidP="00C22DBB">
      <w:pPr>
        <w:spacing w:after="0" w:line="180" w:lineRule="exact"/>
        <w:ind w:left="357"/>
      </w:pPr>
    </w:p>
    <w:p w:rsidR="00C22DBB" w:rsidRDefault="00C22DBB" w:rsidP="00C22DBB">
      <w:pPr>
        <w:spacing w:after="0" w:line="180" w:lineRule="exact"/>
        <w:ind w:left="357"/>
      </w:pPr>
      <w:r>
        <w:t xml:space="preserve">Контактная информация для направления обращений: </w:t>
      </w:r>
    </w:p>
    <w:p w:rsidR="00C22DBB" w:rsidRDefault="00C22DBB" w:rsidP="00C22DBB">
      <w:pPr>
        <w:spacing w:after="0" w:line="180" w:lineRule="exact"/>
        <w:ind w:left="357"/>
        <w:rPr>
          <w:b/>
        </w:rPr>
      </w:pPr>
      <w:r>
        <w:rPr>
          <w:b/>
        </w:rPr>
        <w:t>ОАО «СУЭНКО», г. Тюмень, ул. Одесская, 14</w:t>
      </w:r>
    </w:p>
    <w:p w:rsidR="00C22DBB" w:rsidRDefault="00C22DBB" w:rsidP="00C22DBB">
      <w:pPr>
        <w:spacing w:after="0" w:line="180" w:lineRule="exact"/>
        <w:ind w:left="357"/>
        <w:rPr>
          <w:b/>
        </w:rPr>
      </w:pPr>
      <w:r>
        <w:rPr>
          <w:b/>
        </w:rPr>
        <w:t>Центр обслуживания клиентов ОАО «СУЭНКО» +7 (3452) 53-64-93</w:t>
      </w:r>
    </w:p>
    <w:p w:rsidR="00C22DBB" w:rsidRDefault="00C22DBB" w:rsidP="00C22DBB">
      <w:pPr>
        <w:spacing w:after="0" w:line="180" w:lineRule="exact"/>
        <w:ind w:left="357"/>
        <w:rPr>
          <w:b/>
        </w:rPr>
      </w:pPr>
      <w:r>
        <w:rPr>
          <w:b/>
        </w:rPr>
        <w:t xml:space="preserve">с использованием сервиса «Обратной связи» официального сайта ОАО «СУЭНКО» </w:t>
      </w:r>
      <w:hyperlink r:id="rId6" w:history="1">
        <w:r>
          <w:rPr>
            <w:rStyle w:val="a5"/>
            <w:b/>
            <w:lang w:val="en-US"/>
          </w:rPr>
          <w:t>www</w:t>
        </w:r>
        <w:r>
          <w:rPr>
            <w:rStyle w:val="a5"/>
            <w:b/>
          </w:rPr>
          <w:t>.</w:t>
        </w:r>
        <w:proofErr w:type="spellStart"/>
        <w:r>
          <w:rPr>
            <w:rStyle w:val="a5"/>
            <w:b/>
            <w:lang w:val="en-US"/>
          </w:rPr>
          <w:t>suenco</w:t>
        </w:r>
        <w:proofErr w:type="spellEnd"/>
        <w:r>
          <w:rPr>
            <w:rStyle w:val="a5"/>
            <w:b/>
          </w:rPr>
          <w:t>.</w:t>
        </w:r>
        <w:proofErr w:type="spellStart"/>
        <w:r>
          <w:rPr>
            <w:rStyle w:val="a5"/>
            <w:b/>
            <w:lang w:val="en-US"/>
          </w:rPr>
          <w:t>ru</w:t>
        </w:r>
        <w:proofErr w:type="spellEnd"/>
      </w:hyperlink>
      <w:r>
        <w:rPr>
          <w:b/>
        </w:rPr>
        <w:t xml:space="preserve">, </w:t>
      </w:r>
    </w:p>
    <w:p w:rsidR="00C22DBB" w:rsidRDefault="00C22DBB" w:rsidP="00C22DBB">
      <w:pPr>
        <w:spacing w:after="0" w:line="180" w:lineRule="exact"/>
        <w:ind w:left="357"/>
        <w:rPr>
          <w:i/>
          <w:sz w:val="16"/>
          <w:szCs w:val="16"/>
        </w:rPr>
      </w:pPr>
    </w:p>
    <w:p w:rsidR="00C22DBB" w:rsidRDefault="00C22DBB" w:rsidP="00C22DBB">
      <w:pPr>
        <w:spacing w:after="0" w:line="180" w:lineRule="exact"/>
        <w:ind w:left="357"/>
        <w:rPr>
          <w:i/>
          <w:sz w:val="16"/>
          <w:szCs w:val="16"/>
        </w:rPr>
      </w:pPr>
      <w:r>
        <w:rPr>
          <w:i/>
          <w:sz w:val="16"/>
          <w:szCs w:val="16"/>
        </w:rPr>
        <w:t>Дополнительно:</w:t>
      </w:r>
    </w:p>
    <w:p w:rsidR="00C22DBB" w:rsidRDefault="00C22DBB" w:rsidP="00C22DBB">
      <w:pPr>
        <w:spacing w:after="0" w:line="180" w:lineRule="exact"/>
        <w:ind w:left="357"/>
        <w:rPr>
          <w:i/>
          <w:sz w:val="16"/>
          <w:szCs w:val="16"/>
        </w:rPr>
      </w:pPr>
      <w:r>
        <w:rPr>
          <w:i/>
          <w:sz w:val="16"/>
          <w:szCs w:val="16"/>
        </w:rPr>
        <w:t>Приемная: +7 (3452) 53-60-11 тел./факс: +7 (3452) 53-60-98</w:t>
      </w:r>
    </w:p>
    <w:p w:rsidR="00C22DBB" w:rsidRDefault="00C22DBB" w:rsidP="00C22DBB">
      <w:pPr>
        <w:spacing w:after="0" w:line="180" w:lineRule="exact"/>
        <w:ind w:left="357"/>
        <w:rPr>
          <w:i/>
          <w:sz w:val="16"/>
          <w:szCs w:val="16"/>
        </w:rPr>
      </w:pPr>
      <w:r>
        <w:rPr>
          <w:i/>
          <w:sz w:val="16"/>
          <w:szCs w:val="16"/>
        </w:rPr>
        <w:t>Отдел по связям с общественностью: +7 (3452) 53-60-14, 53-60-15,.</w:t>
      </w:r>
    </w:p>
    <w:p w:rsidR="00C22DBB" w:rsidRDefault="00C22DBB" w:rsidP="00C22DBB">
      <w:pPr>
        <w:spacing w:after="0" w:line="180" w:lineRule="exact"/>
        <w:ind w:left="357"/>
        <w:rPr>
          <w:i/>
          <w:sz w:val="16"/>
          <w:szCs w:val="16"/>
        </w:rPr>
      </w:pPr>
      <w:r>
        <w:rPr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C22DBB" w:rsidRDefault="00C22DBB" w:rsidP="00C22DBB">
      <w:pPr>
        <w:spacing w:after="0" w:line="180" w:lineRule="exact"/>
        <w:ind w:left="35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Адрес: 625048, </w:t>
      </w:r>
      <w:proofErr w:type="spellStart"/>
      <w:r>
        <w:rPr>
          <w:i/>
          <w:sz w:val="16"/>
          <w:szCs w:val="16"/>
        </w:rPr>
        <w:t>г</w:t>
      </w:r>
      <w:proofErr w:type="gramStart"/>
      <w:r>
        <w:rPr>
          <w:i/>
          <w:sz w:val="16"/>
          <w:szCs w:val="16"/>
        </w:rPr>
        <w:t>.Т</w:t>
      </w:r>
      <w:proofErr w:type="gramEnd"/>
      <w:r>
        <w:rPr>
          <w:i/>
          <w:sz w:val="16"/>
          <w:szCs w:val="16"/>
        </w:rPr>
        <w:t>юмень</w:t>
      </w:r>
      <w:proofErr w:type="spellEnd"/>
      <w:r>
        <w:rPr>
          <w:i/>
          <w:sz w:val="16"/>
          <w:szCs w:val="16"/>
        </w:rPr>
        <w:t xml:space="preserve">, </w:t>
      </w:r>
      <w:proofErr w:type="spellStart"/>
      <w:r>
        <w:rPr>
          <w:i/>
          <w:sz w:val="16"/>
          <w:szCs w:val="16"/>
        </w:rPr>
        <w:t>ул.Холодильная</w:t>
      </w:r>
      <w:proofErr w:type="spellEnd"/>
      <w:r>
        <w:rPr>
          <w:i/>
          <w:sz w:val="16"/>
          <w:szCs w:val="16"/>
        </w:rPr>
        <w:t xml:space="preserve">, д. 58 "А", +7 (3452) 503-155           </w:t>
      </w:r>
    </w:p>
    <w:p w:rsidR="00C22DBB" w:rsidRDefault="00C22DBB" w:rsidP="00C22DBB">
      <w:pPr>
        <w:spacing w:after="0" w:line="180" w:lineRule="exact"/>
        <w:ind w:left="35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Региональная энергетическая комиссия Тюменской области,  Ханты-Мансийского автономного округа – Югры, </w:t>
      </w:r>
      <w:proofErr w:type="spellStart"/>
      <w:proofErr w:type="gramStart"/>
      <w:r>
        <w:rPr>
          <w:i/>
          <w:sz w:val="16"/>
          <w:szCs w:val="16"/>
        </w:rPr>
        <w:t>Ямало</w:t>
      </w:r>
      <w:proofErr w:type="spellEnd"/>
      <w:r>
        <w:rPr>
          <w:i/>
          <w:sz w:val="16"/>
          <w:szCs w:val="16"/>
        </w:rPr>
        <w:t xml:space="preserve"> – Ненецкого</w:t>
      </w:r>
      <w:proofErr w:type="gramEnd"/>
      <w:r>
        <w:rPr>
          <w:i/>
          <w:sz w:val="16"/>
          <w:szCs w:val="16"/>
        </w:rPr>
        <w:t xml:space="preserve"> автономного округа </w:t>
      </w:r>
    </w:p>
    <w:p w:rsidR="00C22DBB" w:rsidRDefault="00C22DBB" w:rsidP="00C22DBB">
      <w:pPr>
        <w:spacing w:after="0" w:line="180" w:lineRule="exact"/>
        <w:ind w:left="357"/>
        <w:rPr>
          <w:i/>
          <w:sz w:val="16"/>
          <w:szCs w:val="16"/>
        </w:rPr>
      </w:pPr>
      <w:r>
        <w:rPr>
          <w:i/>
          <w:sz w:val="16"/>
          <w:szCs w:val="16"/>
        </w:rPr>
        <w:t>(РЭК ТО, ХМАО и ЯНАО)</w:t>
      </w:r>
    </w:p>
    <w:p w:rsidR="00C22DBB" w:rsidRDefault="00C22DBB" w:rsidP="00C22DBB">
      <w:pPr>
        <w:spacing w:after="0" w:line="180" w:lineRule="exact"/>
        <w:ind w:firstLine="357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Адрес: 625000, </w:t>
      </w:r>
      <w:proofErr w:type="spellStart"/>
      <w:r>
        <w:rPr>
          <w:i/>
          <w:sz w:val="16"/>
          <w:szCs w:val="16"/>
        </w:rPr>
        <w:t>г</w:t>
      </w:r>
      <w:proofErr w:type="gramStart"/>
      <w:r>
        <w:rPr>
          <w:i/>
          <w:sz w:val="16"/>
          <w:szCs w:val="16"/>
        </w:rPr>
        <w:t>.Т</w:t>
      </w:r>
      <w:proofErr w:type="gramEnd"/>
      <w:r>
        <w:rPr>
          <w:i/>
          <w:sz w:val="16"/>
          <w:szCs w:val="16"/>
        </w:rPr>
        <w:t>юмень</w:t>
      </w:r>
      <w:proofErr w:type="spellEnd"/>
      <w:r>
        <w:rPr>
          <w:i/>
          <w:sz w:val="16"/>
          <w:szCs w:val="16"/>
        </w:rPr>
        <w:t xml:space="preserve">, </w:t>
      </w:r>
      <w:proofErr w:type="spellStart"/>
      <w:r>
        <w:rPr>
          <w:i/>
          <w:sz w:val="16"/>
          <w:szCs w:val="16"/>
        </w:rPr>
        <w:t>ул.Володарского</w:t>
      </w:r>
      <w:proofErr w:type="spellEnd"/>
      <w:r>
        <w:rPr>
          <w:i/>
          <w:sz w:val="16"/>
          <w:szCs w:val="16"/>
        </w:rPr>
        <w:t xml:space="preserve">, д.45, +7 (3452) 46-90-07 </w:t>
      </w:r>
    </w:p>
    <w:p w:rsidR="00C22DBB" w:rsidRPr="006411EE" w:rsidRDefault="00C22DBB" w:rsidP="00C22DBB">
      <w:pPr>
        <w:spacing w:after="0" w:line="180" w:lineRule="exact"/>
        <w:ind w:left="357"/>
        <w:rPr>
          <w:i/>
          <w:sz w:val="16"/>
          <w:szCs w:val="16"/>
        </w:rPr>
      </w:pPr>
    </w:p>
    <w:p w:rsidR="00E87153" w:rsidRDefault="00E87153" w:rsidP="00C22DBB">
      <w:pPr>
        <w:spacing w:line="180" w:lineRule="exact"/>
        <w:ind w:left="360"/>
      </w:pPr>
    </w:p>
    <w:sectPr w:rsidR="00E87153" w:rsidSect="00957116">
      <w:pgSz w:w="16838" w:h="11906" w:orient="landscape"/>
      <w:pgMar w:top="284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7C7"/>
    <w:multiLevelType w:val="hybridMultilevel"/>
    <w:tmpl w:val="C07280DC"/>
    <w:lvl w:ilvl="0" w:tplc="E7B493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4E50"/>
    <w:multiLevelType w:val="hybridMultilevel"/>
    <w:tmpl w:val="90DCD170"/>
    <w:lvl w:ilvl="0" w:tplc="FB1639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FD"/>
    <w:rsid w:val="000001F1"/>
    <w:rsid w:val="000004A4"/>
    <w:rsid w:val="000048E3"/>
    <w:rsid w:val="00007D2D"/>
    <w:rsid w:val="000103CE"/>
    <w:rsid w:val="000361E9"/>
    <w:rsid w:val="00051977"/>
    <w:rsid w:val="00052CB0"/>
    <w:rsid w:val="00053C6E"/>
    <w:rsid w:val="00054357"/>
    <w:rsid w:val="00054E45"/>
    <w:rsid w:val="00062046"/>
    <w:rsid w:val="000659B2"/>
    <w:rsid w:val="00070629"/>
    <w:rsid w:val="000B533A"/>
    <w:rsid w:val="000D726F"/>
    <w:rsid w:val="000E2018"/>
    <w:rsid w:val="00100208"/>
    <w:rsid w:val="00105A8C"/>
    <w:rsid w:val="00115F7E"/>
    <w:rsid w:val="00116B5D"/>
    <w:rsid w:val="00116C64"/>
    <w:rsid w:val="00116E0F"/>
    <w:rsid w:val="001176F4"/>
    <w:rsid w:val="00123AA9"/>
    <w:rsid w:val="00195C63"/>
    <w:rsid w:val="001C797D"/>
    <w:rsid w:val="001D73AC"/>
    <w:rsid w:val="00206FB7"/>
    <w:rsid w:val="00211EF2"/>
    <w:rsid w:val="00221CC9"/>
    <w:rsid w:val="00221EC4"/>
    <w:rsid w:val="002276E8"/>
    <w:rsid w:val="0025067B"/>
    <w:rsid w:val="00283677"/>
    <w:rsid w:val="00292432"/>
    <w:rsid w:val="002B30D8"/>
    <w:rsid w:val="002C0EF7"/>
    <w:rsid w:val="002D49AC"/>
    <w:rsid w:val="002F37AC"/>
    <w:rsid w:val="003036CF"/>
    <w:rsid w:val="003200A4"/>
    <w:rsid w:val="003209F4"/>
    <w:rsid w:val="0033075B"/>
    <w:rsid w:val="00336C20"/>
    <w:rsid w:val="00350196"/>
    <w:rsid w:val="00350373"/>
    <w:rsid w:val="0035255D"/>
    <w:rsid w:val="003625BD"/>
    <w:rsid w:val="00383B67"/>
    <w:rsid w:val="0038483B"/>
    <w:rsid w:val="003943F3"/>
    <w:rsid w:val="003C1148"/>
    <w:rsid w:val="003C21E4"/>
    <w:rsid w:val="003C2A3B"/>
    <w:rsid w:val="003C5FB6"/>
    <w:rsid w:val="003E1E71"/>
    <w:rsid w:val="003E4345"/>
    <w:rsid w:val="003E6183"/>
    <w:rsid w:val="003F0ECA"/>
    <w:rsid w:val="004006E1"/>
    <w:rsid w:val="00403DED"/>
    <w:rsid w:val="00406785"/>
    <w:rsid w:val="0043025B"/>
    <w:rsid w:val="00445F91"/>
    <w:rsid w:val="00457BE0"/>
    <w:rsid w:val="0049449B"/>
    <w:rsid w:val="00497938"/>
    <w:rsid w:val="004B117A"/>
    <w:rsid w:val="004C11E5"/>
    <w:rsid w:val="004C7C32"/>
    <w:rsid w:val="004F2490"/>
    <w:rsid w:val="004F71B1"/>
    <w:rsid w:val="005232A1"/>
    <w:rsid w:val="00523782"/>
    <w:rsid w:val="00526E3E"/>
    <w:rsid w:val="00527FC0"/>
    <w:rsid w:val="005506FB"/>
    <w:rsid w:val="00574702"/>
    <w:rsid w:val="0058208A"/>
    <w:rsid w:val="0059296D"/>
    <w:rsid w:val="005D03FB"/>
    <w:rsid w:val="005E0055"/>
    <w:rsid w:val="005E0860"/>
    <w:rsid w:val="005F5837"/>
    <w:rsid w:val="0061404F"/>
    <w:rsid w:val="006407AB"/>
    <w:rsid w:val="0066639E"/>
    <w:rsid w:val="006671CD"/>
    <w:rsid w:val="00671EE4"/>
    <w:rsid w:val="0067466A"/>
    <w:rsid w:val="0067529C"/>
    <w:rsid w:val="00694BCA"/>
    <w:rsid w:val="006A142C"/>
    <w:rsid w:val="006A48C8"/>
    <w:rsid w:val="006A6186"/>
    <w:rsid w:val="006B13D8"/>
    <w:rsid w:val="006F0E1B"/>
    <w:rsid w:val="006F712C"/>
    <w:rsid w:val="007053EA"/>
    <w:rsid w:val="007078B1"/>
    <w:rsid w:val="00722E49"/>
    <w:rsid w:val="00723F68"/>
    <w:rsid w:val="00746F78"/>
    <w:rsid w:val="00752294"/>
    <w:rsid w:val="0075525A"/>
    <w:rsid w:val="0076095A"/>
    <w:rsid w:val="007626AF"/>
    <w:rsid w:val="00774FFD"/>
    <w:rsid w:val="00784C8F"/>
    <w:rsid w:val="0078554B"/>
    <w:rsid w:val="00786A0B"/>
    <w:rsid w:val="00793D3F"/>
    <w:rsid w:val="007A380A"/>
    <w:rsid w:val="007A4280"/>
    <w:rsid w:val="007A5CF1"/>
    <w:rsid w:val="007A65A8"/>
    <w:rsid w:val="007B028B"/>
    <w:rsid w:val="007B753F"/>
    <w:rsid w:val="007C1BDE"/>
    <w:rsid w:val="007C3CFE"/>
    <w:rsid w:val="007D6DF0"/>
    <w:rsid w:val="008101AC"/>
    <w:rsid w:val="00810C35"/>
    <w:rsid w:val="00850CB1"/>
    <w:rsid w:val="00851BAD"/>
    <w:rsid w:val="00854556"/>
    <w:rsid w:val="00867E5C"/>
    <w:rsid w:val="008735A9"/>
    <w:rsid w:val="00880A30"/>
    <w:rsid w:val="00881844"/>
    <w:rsid w:val="00881B72"/>
    <w:rsid w:val="008A5AA4"/>
    <w:rsid w:val="008A7D23"/>
    <w:rsid w:val="008D03A9"/>
    <w:rsid w:val="008D4CF9"/>
    <w:rsid w:val="008D757E"/>
    <w:rsid w:val="008E155F"/>
    <w:rsid w:val="008F45B2"/>
    <w:rsid w:val="00900B39"/>
    <w:rsid w:val="00905BFE"/>
    <w:rsid w:val="0091709D"/>
    <w:rsid w:val="00934462"/>
    <w:rsid w:val="00934DD6"/>
    <w:rsid w:val="00954A9A"/>
    <w:rsid w:val="00957116"/>
    <w:rsid w:val="00957D57"/>
    <w:rsid w:val="009957C0"/>
    <w:rsid w:val="009B596C"/>
    <w:rsid w:val="009C3448"/>
    <w:rsid w:val="009D3CD5"/>
    <w:rsid w:val="00A01B6E"/>
    <w:rsid w:val="00A16657"/>
    <w:rsid w:val="00A24B1F"/>
    <w:rsid w:val="00A41E16"/>
    <w:rsid w:val="00A426F0"/>
    <w:rsid w:val="00A42C16"/>
    <w:rsid w:val="00A45C80"/>
    <w:rsid w:val="00A53F3C"/>
    <w:rsid w:val="00A64D42"/>
    <w:rsid w:val="00A66915"/>
    <w:rsid w:val="00A73C34"/>
    <w:rsid w:val="00A87C93"/>
    <w:rsid w:val="00AA4BCF"/>
    <w:rsid w:val="00AB32ED"/>
    <w:rsid w:val="00AD21F4"/>
    <w:rsid w:val="00AF4009"/>
    <w:rsid w:val="00AF7DB7"/>
    <w:rsid w:val="00B0141A"/>
    <w:rsid w:val="00B016F9"/>
    <w:rsid w:val="00B033EE"/>
    <w:rsid w:val="00B153EF"/>
    <w:rsid w:val="00B31EBF"/>
    <w:rsid w:val="00B35EFB"/>
    <w:rsid w:val="00B56F3C"/>
    <w:rsid w:val="00B623FD"/>
    <w:rsid w:val="00B82560"/>
    <w:rsid w:val="00BA7F41"/>
    <w:rsid w:val="00BB7005"/>
    <w:rsid w:val="00BC7A5D"/>
    <w:rsid w:val="00BD6272"/>
    <w:rsid w:val="00C10D6B"/>
    <w:rsid w:val="00C1645A"/>
    <w:rsid w:val="00C22DBB"/>
    <w:rsid w:val="00C22E7B"/>
    <w:rsid w:val="00C26A51"/>
    <w:rsid w:val="00C27336"/>
    <w:rsid w:val="00C319A7"/>
    <w:rsid w:val="00C516C4"/>
    <w:rsid w:val="00C709BE"/>
    <w:rsid w:val="00C84AFB"/>
    <w:rsid w:val="00CA6E9F"/>
    <w:rsid w:val="00CB6011"/>
    <w:rsid w:val="00CB7586"/>
    <w:rsid w:val="00CD08AB"/>
    <w:rsid w:val="00CF0262"/>
    <w:rsid w:val="00D066CB"/>
    <w:rsid w:val="00D57196"/>
    <w:rsid w:val="00D577E2"/>
    <w:rsid w:val="00D71BF0"/>
    <w:rsid w:val="00D765EE"/>
    <w:rsid w:val="00D87E88"/>
    <w:rsid w:val="00DA3C92"/>
    <w:rsid w:val="00DB7E17"/>
    <w:rsid w:val="00DD1275"/>
    <w:rsid w:val="00DE2E19"/>
    <w:rsid w:val="00DE7FE2"/>
    <w:rsid w:val="00E22AC9"/>
    <w:rsid w:val="00E22AF0"/>
    <w:rsid w:val="00E53111"/>
    <w:rsid w:val="00E535AD"/>
    <w:rsid w:val="00E651D5"/>
    <w:rsid w:val="00E65F14"/>
    <w:rsid w:val="00E87153"/>
    <w:rsid w:val="00EB515E"/>
    <w:rsid w:val="00EC0FCF"/>
    <w:rsid w:val="00EC1A92"/>
    <w:rsid w:val="00ED2E54"/>
    <w:rsid w:val="00EE3510"/>
    <w:rsid w:val="00EE36B2"/>
    <w:rsid w:val="00EE6B28"/>
    <w:rsid w:val="00EF6DF4"/>
    <w:rsid w:val="00F2415F"/>
    <w:rsid w:val="00F313E3"/>
    <w:rsid w:val="00F443EC"/>
    <w:rsid w:val="00FA4573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2DB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8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45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22DB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C84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enc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Светлана Михайловна</dc:creator>
  <cp:lastModifiedBy>Петренко Светлана Михайловна</cp:lastModifiedBy>
  <cp:revision>5</cp:revision>
  <dcterms:created xsi:type="dcterms:W3CDTF">2014-09-02T11:21:00Z</dcterms:created>
  <dcterms:modified xsi:type="dcterms:W3CDTF">2014-09-03T04:30:00Z</dcterms:modified>
</cp:coreProperties>
</file>