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27" w:rsidRPr="00EC2F27" w:rsidRDefault="00EC2F27" w:rsidP="00EC2F2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ПАО «</w:t>
      </w:r>
      <w:proofErr w:type="gramStart"/>
      <w:r w:rsidRPr="00EC2F27">
        <w:rPr>
          <w:rFonts w:ascii="Arial" w:hAnsi="Arial" w:cs="Arial"/>
          <w:b/>
          <w:sz w:val="20"/>
          <w:szCs w:val="20"/>
          <w:lang w:eastAsia="ru-RU"/>
        </w:rPr>
        <w:t>СУЭНКО»*</w:t>
      </w:r>
      <w:proofErr w:type="gramEnd"/>
    </w:p>
    <w:p w:rsidR="00EC2F27" w:rsidRPr="00EC2F27" w:rsidRDefault="00EC2F27" w:rsidP="00EC2F27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>единение к электрическим сетям П</w:t>
      </w:r>
      <w:r w:rsidRPr="00EC2F27">
        <w:rPr>
          <w:rFonts w:ascii="Arial" w:hAnsi="Arial" w:cs="Arial"/>
          <w:b/>
          <w:sz w:val="20"/>
          <w:szCs w:val="20"/>
          <w:lang w:eastAsia="ru-RU"/>
        </w:rPr>
        <w:t>АО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«</w:t>
      </w:r>
      <w:r w:rsidRPr="00EC2F27">
        <w:rPr>
          <w:rFonts w:ascii="Arial" w:hAnsi="Arial" w:cs="Arial"/>
          <w:b/>
          <w:sz w:val="20"/>
          <w:szCs w:val="20"/>
          <w:lang w:eastAsia="ru-RU"/>
        </w:rPr>
        <w:t>СУЭНКО</w:t>
      </w:r>
      <w:r>
        <w:rPr>
          <w:rFonts w:ascii="Arial" w:hAnsi="Arial" w:cs="Arial"/>
          <w:b/>
          <w:sz w:val="20"/>
          <w:szCs w:val="20"/>
          <w:lang w:eastAsia="ru-RU"/>
        </w:rPr>
        <w:t>»</w:t>
      </w:r>
      <w:r w:rsidRPr="00EC2F27">
        <w:rPr>
          <w:rFonts w:ascii="Arial" w:hAnsi="Arial" w:cs="Arial"/>
          <w:b/>
          <w:sz w:val="20"/>
          <w:szCs w:val="20"/>
          <w:lang w:eastAsia="ru-RU"/>
        </w:rPr>
        <w:t xml:space="preserve"> посредством перераспределения максимальной мощности</w:t>
      </w:r>
    </w:p>
    <w:p w:rsidR="00EC2F27" w:rsidRPr="00EC2F27" w:rsidRDefault="00EC2F27" w:rsidP="00EC2F27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EC2F27" w:rsidRPr="00EC2F27" w:rsidRDefault="00EC2F27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юридические лица и индивидуальные предприниматели  за исключением заявителей,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заявителей, технологическое присоединение которых осуществлено по одному источнику электроснабжения мощностью до 150 кВт включительно и заявителей, не внесших плату за технологическое присоединение энергопринимающих устройств либо внесших такую плату не в полном объеме,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</w:t>
      </w:r>
      <w:r w:rsidR="00005AC2">
        <w:rPr>
          <w:rFonts w:ascii="Arial" w:hAnsi="Arial" w:cs="Arial"/>
          <w:sz w:val="20"/>
          <w:szCs w:val="20"/>
          <w:lang w:eastAsia="ru-RU"/>
        </w:rPr>
        <w:t>.</w:t>
      </w:r>
    </w:p>
    <w:p w:rsidR="00EC2F27" w:rsidRPr="00EC2F27" w:rsidRDefault="00EC2F27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услуги(процесса) и основание ее взимания: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на основании решений </w:t>
      </w:r>
      <w:r w:rsidR="000E2FB5" w:rsidRPr="000E2FB5">
        <w:rPr>
          <w:rFonts w:ascii="Arial" w:hAnsi="Arial" w:cs="Arial"/>
          <w:sz w:val="20"/>
          <w:szCs w:val="20"/>
          <w:highlight w:val="yellow"/>
          <w:lang w:eastAsia="ru-RU"/>
        </w:rPr>
        <w:t>ДГРЦТ КО</w:t>
      </w:r>
      <w:r w:rsidR="000E2FB5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EC2F27">
        <w:rPr>
          <w:rFonts w:ascii="Arial" w:hAnsi="Arial" w:cs="Arial"/>
          <w:sz w:val="20"/>
          <w:szCs w:val="20"/>
          <w:lang w:eastAsia="ru-RU"/>
        </w:rPr>
        <w:t>РЭК</w:t>
      </w:r>
      <w:r w:rsidR="00005AC2">
        <w:rPr>
          <w:rFonts w:ascii="Arial" w:hAnsi="Arial" w:cs="Arial"/>
          <w:sz w:val="20"/>
          <w:szCs w:val="20"/>
          <w:lang w:eastAsia="ru-RU"/>
        </w:rPr>
        <w:t>,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Т</w:t>
      </w:r>
      <w:r w:rsidR="00005AC2">
        <w:rPr>
          <w:rFonts w:ascii="Arial" w:hAnsi="Arial" w:cs="Arial"/>
          <w:sz w:val="20"/>
          <w:szCs w:val="20"/>
          <w:lang w:eastAsia="ru-RU"/>
        </w:rPr>
        <w:t xml:space="preserve">О, </w:t>
      </w:r>
      <w:proofErr w:type="spellStart"/>
      <w:r w:rsidR="00005AC2">
        <w:rPr>
          <w:rFonts w:ascii="Arial" w:hAnsi="Arial" w:cs="Arial"/>
          <w:sz w:val="20"/>
          <w:szCs w:val="20"/>
          <w:lang w:eastAsia="ru-RU"/>
        </w:rPr>
        <w:t>ХМАО_Югры</w:t>
      </w:r>
      <w:proofErr w:type="spellEnd"/>
      <w:r w:rsidR="00005AC2">
        <w:rPr>
          <w:rFonts w:ascii="Arial" w:hAnsi="Arial" w:cs="Arial"/>
          <w:sz w:val="20"/>
          <w:szCs w:val="20"/>
          <w:lang w:eastAsia="ru-RU"/>
        </w:rPr>
        <w:t>, ЯНАО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технологического </w:t>
      </w:r>
      <w:proofErr w:type="gramStart"/>
      <w:r w:rsidRPr="00EC2F27">
        <w:rPr>
          <w:rFonts w:ascii="Arial" w:hAnsi="Arial" w:cs="Arial"/>
          <w:sz w:val="20"/>
          <w:szCs w:val="20"/>
          <w:lang w:eastAsia="ru-RU"/>
        </w:rPr>
        <w:t>присоединения</w:t>
      </w:r>
      <w:r w:rsidR="00005AC2">
        <w:rPr>
          <w:rFonts w:ascii="Arial" w:hAnsi="Arial" w:cs="Arial"/>
          <w:sz w:val="20"/>
          <w:szCs w:val="20"/>
          <w:lang w:eastAsia="ru-RU"/>
        </w:rPr>
        <w:t>.</w:t>
      </w:r>
      <w:r w:rsidRPr="00EC2F27">
        <w:rPr>
          <w:rFonts w:ascii="Arial" w:hAnsi="Arial" w:cs="Arial"/>
          <w:sz w:val="20"/>
          <w:szCs w:val="20"/>
          <w:lang w:eastAsia="ru-RU"/>
        </w:rPr>
        <w:t>*</w:t>
      </w:r>
      <w:proofErr w:type="gramEnd"/>
      <w:r w:rsidRPr="00EC2F27">
        <w:rPr>
          <w:rFonts w:ascii="Arial" w:hAnsi="Arial" w:cs="Arial"/>
          <w:sz w:val="20"/>
          <w:szCs w:val="20"/>
          <w:lang w:eastAsia="ru-RU"/>
        </w:rPr>
        <w:t>*</w:t>
      </w:r>
    </w:p>
    <w:p w:rsidR="00EC2F27" w:rsidRPr="00EC2F27" w:rsidRDefault="00EC2F27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организацию, к объектам электросетевого хозяйства которой ранее были в установленном порядке присоединены энергопринимающие устройства лица, намеревающегося перераспределить свою максимальную мощность, уведомления о подписании сторонами соглашения о перераспределении максимальной мощности между принадлежащими им </w:t>
      </w:r>
      <w:proofErr w:type="spellStart"/>
      <w:r w:rsidRPr="00EC2F27">
        <w:rPr>
          <w:rFonts w:ascii="Arial" w:hAnsi="Arial" w:cs="Arial"/>
          <w:sz w:val="20"/>
          <w:szCs w:val="20"/>
          <w:lang w:eastAsia="ru-RU"/>
        </w:rPr>
        <w:t>энергопринимающими</w:t>
      </w:r>
      <w:proofErr w:type="spellEnd"/>
      <w:r w:rsidRPr="00EC2F27">
        <w:rPr>
          <w:rFonts w:ascii="Arial" w:hAnsi="Arial" w:cs="Arial"/>
          <w:sz w:val="20"/>
          <w:szCs w:val="20"/>
          <w:lang w:eastAsia="ru-RU"/>
        </w:rPr>
        <w:t xml:space="preserve"> устройствами.</w:t>
      </w:r>
    </w:p>
    <w:p w:rsidR="00EC2F27" w:rsidRPr="00EC2F27" w:rsidRDefault="00EC2F27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EC2F27">
        <w:rPr>
          <w:rFonts w:ascii="Arial" w:hAnsi="Arial" w:cs="Arial"/>
          <w:sz w:val="20"/>
          <w:szCs w:val="20"/>
          <w:lang w:eastAsia="ru-RU"/>
        </w:rPr>
        <w:t>уменьшение мощности лица, перераспределяющего мощность в пользу иных лиц, увеличение мощности лица, в пользу которого она перераспределяется</w:t>
      </w:r>
      <w:r w:rsidR="00005AC2">
        <w:rPr>
          <w:rFonts w:ascii="Arial" w:hAnsi="Arial" w:cs="Arial"/>
          <w:sz w:val="20"/>
          <w:szCs w:val="20"/>
          <w:lang w:eastAsia="ru-RU"/>
        </w:rPr>
        <w:t>.</w:t>
      </w:r>
    </w:p>
    <w:p w:rsidR="00EC2F27" w:rsidRPr="00EC2F27" w:rsidRDefault="00EC2F27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 в соответствии с уведомлением</w:t>
      </w:r>
      <w:r w:rsidR="00005AC2">
        <w:rPr>
          <w:rFonts w:ascii="Arial" w:hAnsi="Arial" w:cs="Arial"/>
          <w:sz w:val="20"/>
          <w:szCs w:val="20"/>
          <w:lang w:eastAsia="ru-RU"/>
        </w:rPr>
        <w:t>.</w:t>
      </w:r>
    </w:p>
    <w:p w:rsidR="00EC2F27" w:rsidRDefault="00EC2F27" w:rsidP="00EC2F27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EC2F27" w:rsidRPr="00EC2F27" w:rsidRDefault="00EC2F27" w:rsidP="00EC2F27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2693"/>
        <w:gridCol w:w="3686"/>
        <w:gridCol w:w="1701"/>
      </w:tblGrid>
      <w:tr w:rsidR="00EC2F27" w:rsidRPr="00774FFD" w:rsidTr="002068FF">
        <w:trPr>
          <w:trHeight w:val="600"/>
        </w:trPr>
        <w:tc>
          <w:tcPr>
            <w:tcW w:w="567" w:type="dxa"/>
            <w:vAlign w:val="center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6" w:type="dxa"/>
            <w:vAlign w:val="center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693" w:type="dxa"/>
            <w:vAlign w:val="center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1" w:type="dxa"/>
            <w:vAlign w:val="center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EC2F27" w:rsidRPr="00774FFD" w:rsidTr="002068FF">
        <w:trPr>
          <w:trHeight w:val="2242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EC2F27" w:rsidRPr="00EC2F27" w:rsidRDefault="00EC2F27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уведомления о заключении соглашени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о перераспределении мощности</w:t>
            </w:r>
          </w:p>
        </w:tc>
        <w:tc>
          <w:tcPr>
            <w:tcW w:w="4536" w:type="dxa"/>
            <w:hideMark/>
          </w:tcPr>
          <w:p w:rsidR="00EC2F27" w:rsidRPr="00EC2F27" w:rsidRDefault="00EC2F27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уведомлению прилагаются документы в соответствии с Правилами технологического присоединения</w:t>
            </w:r>
          </w:p>
        </w:tc>
        <w:tc>
          <w:tcPr>
            <w:tcW w:w="2693" w:type="dxa"/>
            <w:hideMark/>
          </w:tcPr>
          <w:p w:rsidR="00EC2F27" w:rsidRPr="00EC2F27" w:rsidRDefault="00EC2F27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уведомления лично или через уполномоченного представителя или в 2 экземпл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ярах письмом с описью вложения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686" w:type="dxa"/>
            <w:hideMark/>
          </w:tcPr>
          <w:p w:rsidR="00EC2F27" w:rsidRPr="00EC2F27" w:rsidRDefault="00EC2F27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F27" w:rsidRPr="00774FFD" w:rsidTr="002068FF">
        <w:trPr>
          <w:trHeight w:val="800"/>
        </w:trPr>
        <w:tc>
          <w:tcPr>
            <w:tcW w:w="567" w:type="dxa"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EC2F27" w:rsidRPr="00EC2F27" w:rsidRDefault="00EC2F27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уведомления,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536" w:type="dxa"/>
          </w:tcPr>
          <w:p w:rsidR="00EC2F27" w:rsidRPr="00EC2F27" w:rsidRDefault="00EC2F27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сведений и документов, пр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илагаемых к уведомлению</w:t>
            </w:r>
          </w:p>
        </w:tc>
        <w:tc>
          <w:tcPr>
            <w:tcW w:w="2693" w:type="dxa"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 предусмотренных законодательс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686" w:type="dxa"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 с даты получения уведомления</w:t>
            </w:r>
          </w:p>
        </w:tc>
        <w:tc>
          <w:tcPr>
            <w:tcW w:w="1701" w:type="dxa"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21 Правил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</w:t>
            </w:r>
          </w:p>
        </w:tc>
      </w:tr>
      <w:tr w:rsidR="00EC2F27" w:rsidRPr="00774FFD" w:rsidTr="002068FF">
        <w:trPr>
          <w:trHeight w:val="1685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получателя перераспределения</w:t>
            </w:r>
          </w:p>
        </w:tc>
        <w:tc>
          <w:tcPr>
            <w:tcW w:w="453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договора). </w:t>
            </w:r>
          </w:p>
        </w:tc>
        <w:tc>
          <w:tcPr>
            <w:tcW w:w="3686" w:type="dxa"/>
            <w:hideMark/>
          </w:tcPr>
          <w:p w:rsidR="00EC2F27" w:rsidRPr="00EC2F27" w:rsidRDefault="00EC2F27" w:rsidP="00C22D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30 дней. Указанный срок может быть продлен по основаниям, предусмотренным Правилами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 к электрическим сетям.</w:t>
            </w:r>
          </w:p>
        </w:tc>
        <w:tc>
          <w:tcPr>
            <w:tcW w:w="1701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25-26 Правил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оединения</w:t>
            </w:r>
          </w:p>
        </w:tc>
      </w:tr>
      <w:tr w:rsidR="00EC2F27" w:rsidRPr="00774FFD" w:rsidTr="002068FF">
        <w:trPr>
          <w:trHeight w:val="2694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лица, максимальная мощность энергопринимающих устройств которого перераспределяется</w:t>
            </w:r>
          </w:p>
        </w:tc>
        <w:tc>
          <w:tcPr>
            <w:tcW w:w="4536" w:type="dxa"/>
            <w:hideMark/>
          </w:tcPr>
          <w:p w:rsidR="00EC2F27" w:rsidRPr="00EC2F27" w:rsidRDefault="00EC2F27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Изменения, вносимые в технические условия, направляемые сетевой организацией лицу, максимальная мощность энергопринимающих устройств которого перераспределяется, должны содержать 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сведения: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величине максимальной мощности объектов заявителя;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мероприятиях по перераспределению максимальной мощности по точкам присоединения, по установке (замене) устройств, обеспечивающих контроль величины максимальной мощности;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требованиях к релейной защите и автом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атике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направляются лицу, максимальная мощность которого перераспределяется. Заключение договора технологичес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кого присоединения не требуется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686" w:type="dxa"/>
            <w:hideMark/>
          </w:tcPr>
          <w:p w:rsidR="00EC2F27" w:rsidRPr="00EC2F27" w:rsidRDefault="00EC2F27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10 рабочих дней со дня выдачи технических условий лицу, в пользу которого перераспределяется максимальная мощность по соглашению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перераспределении мощности.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Указанный срок может быть продлен 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случаях</w:t>
            </w:r>
            <w:proofErr w:type="gram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предусмотренных Правилами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оединения</w:t>
            </w:r>
          </w:p>
        </w:tc>
        <w:tc>
          <w:tcPr>
            <w:tcW w:w="1701" w:type="dxa"/>
            <w:hideMark/>
          </w:tcPr>
          <w:p w:rsidR="00EC2F27" w:rsidRPr="00EC2F27" w:rsidRDefault="00EC2F27" w:rsidP="00EC2F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25-26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C2F27" w:rsidRPr="00774FFD" w:rsidTr="002068FF">
        <w:trPr>
          <w:trHeight w:val="1257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договора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53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тъемлемое приложение к договору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азным письмом в 2-х экземплярах</w:t>
            </w:r>
          </w:p>
        </w:tc>
        <w:tc>
          <w:tcPr>
            <w:tcW w:w="3686" w:type="dxa"/>
            <w:hideMark/>
          </w:tcPr>
          <w:p w:rsidR="00EC2F27" w:rsidRPr="00EC2F27" w:rsidRDefault="00EC2F27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30 дней. Указанный срок может быть продлен в случаях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предусмотренных Правилами технологического при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соединения</w:t>
            </w:r>
          </w:p>
        </w:tc>
        <w:tc>
          <w:tcPr>
            <w:tcW w:w="1701" w:type="dxa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15,16 Правил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C2F27" w:rsidRPr="00774FFD" w:rsidTr="002068FF">
        <w:trPr>
          <w:trHeight w:val="1888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Подписание получателем перераспределения мощности договора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53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подписывает оба экземпляра проекта договора.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 считается заключенным с даты поступления подписанного заявителем экземпляра договора технологического присое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динения в сетевую организацию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Направляет мотивированный отказ в сетевую организацию заказным пис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ьмом с уведомлением о вручении.</w:t>
            </w:r>
          </w:p>
        </w:tc>
        <w:tc>
          <w:tcPr>
            <w:tcW w:w="368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30 дней с даты получения подписанного с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етевой организацией договора</w:t>
            </w:r>
          </w:p>
        </w:tc>
        <w:tc>
          <w:tcPr>
            <w:tcW w:w="1701" w:type="dxa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15 Правил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C2F27" w:rsidRPr="00774FFD" w:rsidTr="002068FF">
        <w:trPr>
          <w:trHeight w:val="869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услуг за технологическое присоедине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 к сетям сетевой организации</w:t>
            </w:r>
          </w:p>
        </w:tc>
        <w:tc>
          <w:tcPr>
            <w:tcW w:w="453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осуществляется на рас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четный счет сетевой организации или в кассу сетевой организации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Любым,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удобным для заявителя способом</w:t>
            </w:r>
          </w:p>
        </w:tc>
        <w:tc>
          <w:tcPr>
            <w:tcW w:w="3686" w:type="dxa"/>
            <w:hideMark/>
          </w:tcPr>
          <w:p w:rsidR="00EC2F27" w:rsidRPr="00EC2F27" w:rsidRDefault="002068FF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действующим законодательством РФ и условиями договора</w:t>
            </w:r>
          </w:p>
        </w:tc>
        <w:tc>
          <w:tcPr>
            <w:tcW w:w="1701" w:type="dxa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16(2) Правил технологического присое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динения</w:t>
            </w:r>
          </w:p>
        </w:tc>
      </w:tr>
      <w:tr w:rsidR="00EC2F27" w:rsidRPr="00774FFD" w:rsidTr="002068FF">
        <w:trPr>
          <w:trHeight w:val="841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получателем перераспределения мощности мероприятий по технологическому присоединению, у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казанных в технических условиях</w:t>
            </w:r>
          </w:p>
        </w:tc>
        <w:tc>
          <w:tcPr>
            <w:tcW w:w="453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заявителем фактических работ, обязанность по выполнению которых лежит на заявителе в соотве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тствии с техническими условиями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</w:tcPr>
          <w:p w:rsidR="00EC2F27" w:rsidRPr="00EC2F27" w:rsidRDefault="002068FF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01" w:type="dxa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16,37 Правил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C2F27" w:rsidRPr="00774FFD" w:rsidTr="002068FF">
        <w:trPr>
          <w:trHeight w:val="2595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мероприятий по технологическому присоединению, указанных в технических условиях лицом, максимальная мощность энергопринимающих устрой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 которого перераспределяется</w:t>
            </w:r>
          </w:p>
        </w:tc>
        <w:tc>
          <w:tcPr>
            <w:tcW w:w="453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фактических работ в соотве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тствии с техническими условиями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пределах срока, установленного договором для получателя перераспределения.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701" w:type="dxa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16,37 Правил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C2F27" w:rsidRPr="00774FFD" w:rsidTr="002068FF">
        <w:trPr>
          <w:trHeight w:val="2433"/>
        </w:trPr>
        <w:tc>
          <w:tcPr>
            <w:tcW w:w="567" w:type="dxa"/>
            <w:vMerge w:val="restart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536" w:type="dxa"/>
            <w:vMerge w:val="restart"/>
            <w:hideMark/>
          </w:tcPr>
          <w:p w:rsidR="00EC2F27" w:rsidRPr="00EC2F27" w:rsidRDefault="00EC2F27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присоединения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693" w:type="dxa"/>
            <w:hideMark/>
          </w:tcPr>
          <w:p w:rsidR="00EC2F27" w:rsidRPr="00EC2F27" w:rsidRDefault="00EC2F27" w:rsidP="002068F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68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дня составления документов о технологическом присоединении. </w:t>
            </w:r>
          </w:p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:rsidR="00EC2F27" w:rsidRPr="00EC2F27" w:rsidRDefault="00EC2F27" w:rsidP="00C22E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Либо при наличии замечаний: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Акт осмотра (обследования) электроустановок с замечаниями, подлежащими устранению заявителем.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01" w:type="dxa"/>
            <w:vMerge w:val="restart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40(3),81-102 Правил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C2F27" w:rsidRPr="00774FFD" w:rsidTr="002068FF">
        <w:trPr>
          <w:trHeight w:val="3031"/>
        </w:trPr>
        <w:tc>
          <w:tcPr>
            <w:tcW w:w="567" w:type="dxa"/>
            <w:vMerge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EC2F27" w:rsidRPr="00EC2F27" w:rsidRDefault="00EC2F27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3686" w:type="dxa"/>
            <w:hideMark/>
          </w:tcPr>
          <w:p w:rsidR="00EC2F27" w:rsidRPr="00EC2F27" w:rsidRDefault="00EC2F27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 дня составления документов о технологическом присоединении</w:t>
            </w:r>
          </w:p>
        </w:tc>
        <w:tc>
          <w:tcPr>
            <w:tcW w:w="1701" w:type="dxa"/>
            <w:vMerge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F27" w:rsidRPr="00774FFD" w:rsidTr="002068FF">
        <w:trPr>
          <w:trHeight w:val="2684"/>
        </w:trPr>
        <w:tc>
          <w:tcPr>
            <w:tcW w:w="567" w:type="dxa"/>
            <w:hideMark/>
          </w:tcPr>
          <w:p w:rsidR="00EC2F27" w:rsidRPr="00EC2F27" w:rsidRDefault="00EC2F27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Выдача документов по окончании осуществления технологического присоединения посредс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перераспределения мощности</w:t>
            </w:r>
          </w:p>
        </w:tc>
        <w:tc>
          <w:tcPr>
            <w:tcW w:w="4536" w:type="dxa"/>
            <w:hideMark/>
          </w:tcPr>
          <w:p w:rsidR="00EC2F27" w:rsidRPr="00EC2F27" w:rsidRDefault="002068FF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Выдача актов</w:t>
            </w:r>
            <w:r w:rsidR="00EC2F27" w:rsidRPr="00EC2F2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068FF" w:rsidRDefault="00EC2F27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</w:t>
            </w:r>
            <w:r w:rsidR="002068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 w:rsidR="002068F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C2F27" w:rsidRPr="00EC2F27" w:rsidRDefault="00EC2F27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="002068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-акта разграничения границ балансовой принадлежности сторон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="002068F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C2F27" w:rsidRPr="00EC2F27" w:rsidRDefault="00EC2F27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2068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акта разграничения эксплуатационной ответственности сторон</w:t>
            </w:r>
            <w:r w:rsidR="002068F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C2F27" w:rsidRPr="00EC2F27" w:rsidRDefault="00EC2F27" w:rsidP="00C84A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акта согласования технологической и (или) аварийной брони (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 заявителей</w:t>
            </w:r>
            <w:proofErr w:type="gram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ограничение режима потребления электрической энергии (мощности) которых может привести к экономическим, экологиче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ским, социальным последствиям).</w:t>
            </w:r>
          </w:p>
        </w:tc>
        <w:tc>
          <w:tcPr>
            <w:tcW w:w="2693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вляется почтой заказным письмом</w:t>
            </w:r>
          </w:p>
        </w:tc>
        <w:tc>
          <w:tcPr>
            <w:tcW w:w="3686" w:type="dxa"/>
            <w:hideMark/>
          </w:tcPr>
          <w:p w:rsidR="00EC2F27" w:rsidRPr="00EC2F27" w:rsidRDefault="00EC2F2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В течение 10 дней со дня завершения проверки выполнения мероприятий заявителем</w:t>
            </w:r>
          </w:p>
        </w:tc>
        <w:tc>
          <w:tcPr>
            <w:tcW w:w="1701" w:type="dxa"/>
            <w:hideMark/>
          </w:tcPr>
          <w:p w:rsidR="00EC2F27" w:rsidRPr="00EC2F27" w:rsidRDefault="00EC2F27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19 Правил</w:t>
            </w:r>
            <w:r w:rsidR="00206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</w:tbl>
    <w:p w:rsidR="00EC2F27" w:rsidRDefault="00EC2F27" w:rsidP="00EC2F27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:rsidR="00EC2F27" w:rsidRPr="002A706D" w:rsidRDefault="00EC2F27" w:rsidP="00EC2F27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 xml:space="preserve">**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EC2F27" w:rsidRPr="002A706D" w:rsidRDefault="00EC2F27" w:rsidP="00EC2F27">
      <w:pPr>
        <w:spacing w:after="0"/>
        <w:rPr>
          <w:rFonts w:ascii="Arial" w:hAnsi="Arial" w:cs="Arial"/>
          <w:sz w:val="20"/>
          <w:szCs w:val="20"/>
        </w:rPr>
      </w:pP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ПАО «СУЭНКО», г. Тюмень, ул. Одесская, 14</w:t>
      </w:r>
    </w:p>
    <w:p w:rsidR="00EC2F27" w:rsidRDefault="00EC2F27" w:rsidP="00EC2F27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0E2FB5" w:rsidRPr="002A706D" w:rsidRDefault="000E2FB5" w:rsidP="00EC2F27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0E2FB5">
        <w:rPr>
          <w:rFonts w:ascii="Arial" w:hAnsi="Arial" w:cs="Arial"/>
          <w:b/>
          <w:sz w:val="20"/>
          <w:szCs w:val="20"/>
          <w:highlight w:val="yellow"/>
        </w:rPr>
        <w:t>Г.Курган</w:t>
      </w:r>
      <w:proofErr w:type="spellEnd"/>
      <w:r w:rsidRPr="000E2FB5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proofErr w:type="spellStart"/>
      <w:r w:rsidRPr="000E2FB5">
        <w:rPr>
          <w:rFonts w:ascii="Arial" w:hAnsi="Arial" w:cs="Arial"/>
          <w:b/>
          <w:sz w:val="20"/>
          <w:szCs w:val="20"/>
          <w:highlight w:val="yellow"/>
        </w:rPr>
        <w:t>ул.Невежина</w:t>
      </w:r>
      <w:proofErr w:type="spellEnd"/>
      <w:r w:rsidRPr="000E2FB5">
        <w:rPr>
          <w:rFonts w:ascii="Arial" w:hAnsi="Arial" w:cs="Arial"/>
          <w:b/>
          <w:sz w:val="20"/>
          <w:szCs w:val="20"/>
          <w:highlight w:val="yellow"/>
        </w:rPr>
        <w:t>, 3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5" w:history="1"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Дополнительно: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EC2F27" w:rsidRPr="002A706D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2A706D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2A706D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EC2F27" w:rsidRDefault="00EC2F27" w:rsidP="00EC2F27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0E2FB5" w:rsidRPr="000E2FB5" w:rsidRDefault="000E2FB5" w:rsidP="000E2FB5">
      <w:pPr>
        <w:spacing w:after="0" w:line="180" w:lineRule="exact"/>
        <w:rPr>
          <w:rFonts w:ascii="Arial" w:hAnsi="Arial" w:cs="Arial"/>
          <w:i/>
          <w:sz w:val="16"/>
          <w:szCs w:val="16"/>
          <w:highlight w:val="yellow"/>
        </w:rPr>
      </w:pPr>
      <w:r w:rsidRPr="000E2FB5">
        <w:rPr>
          <w:rFonts w:ascii="Arial" w:hAnsi="Arial" w:cs="Arial"/>
          <w:i/>
          <w:sz w:val="16"/>
          <w:szCs w:val="16"/>
          <w:highlight w:val="yellow"/>
        </w:rPr>
        <w:t>Департамент государственного регулирования цен и тарифов Курганской области (ДГРЦТ КО)</w:t>
      </w:r>
    </w:p>
    <w:p w:rsidR="000E2FB5" w:rsidRPr="000E2FB5" w:rsidRDefault="000E2FB5" w:rsidP="000E2FB5">
      <w:pPr>
        <w:spacing w:after="0" w:line="180" w:lineRule="exact"/>
        <w:rPr>
          <w:rFonts w:ascii="Arial" w:hAnsi="Arial" w:cs="Arial"/>
          <w:i/>
          <w:sz w:val="16"/>
          <w:szCs w:val="16"/>
          <w:highlight w:val="yellow"/>
        </w:rPr>
      </w:pPr>
      <w:r w:rsidRPr="000E2FB5">
        <w:rPr>
          <w:rFonts w:ascii="Arial" w:hAnsi="Arial" w:cs="Arial"/>
          <w:i/>
          <w:sz w:val="16"/>
          <w:szCs w:val="16"/>
          <w:highlight w:val="yellow"/>
        </w:rPr>
        <w:t xml:space="preserve">Адрес: 640000 </w:t>
      </w:r>
      <w:proofErr w:type="spellStart"/>
      <w:r w:rsidRPr="000E2FB5">
        <w:rPr>
          <w:rFonts w:ascii="Arial" w:hAnsi="Arial" w:cs="Arial"/>
          <w:i/>
          <w:sz w:val="16"/>
          <w:szCs w:val="16"/>
          <w:highlight w:val="yellow"/>
        </w:rPr>
        <w:t>г.Курган</w:t>
      </w:r>
      <w:proofErr w:type="spellEnd"/>
      <w:r w:rsidRPr="000E2FB5">
        <w:rPr>
          <w:rFonts w:ascii="Arial" w:hAnsi="Arial" w:cs="Arial"/>
          <w:i/>
          <w:sz w:val="16"/>
          <w:szCs w:val="16"/>
          <w:highlight w:val="yellow"/>
        </w:rPr>
        <w:t xml:space="preserve">, ул. </w:t>
      </w:r>
      <w:proofErr w:type="spellStart"/>
      <w:r w:rsidRPr="000E2FB5">
        <w:rPr>
          <w:rFonts w:ascii="Arial" w:hAnsi="Arial" w:cs="Arial"/>
          <w:i/>
          <w:sz w:val="16"/>
          <w:szCs w:val="16"/>
          <w:highlight w:val="yellow"/>
        </w:rPr>
        <w:t>К.Мяготина</w:t>
      </w:r>
      <w:proofErr w:type="spellEnd"/>
      <w:r w:rsidRPr="000E2FB5">
        <w:rPr>
          <w:rFonts w:ascii="Arial" w:hAnsi="Arial" w:cs="Arial"/>
          <w:i/>
          <w:sz w:val="16"/>
          <w:szCs w:val="16"/>
          <w:highlight w:val="yellow"/>
        </w:rPr>
        <w:t>, 124, тел. +7 (3522)46-27-25; 46-35-57</w:t>
      </w:r>
    </w:p>
    <w:p w:rsidR="000E2FB5" w:rsidRPr="000E2FB5" w:rsidRDefault="000E2FB5" w:rsidP="000E2FB5">
      <w:pPr>
        <w:spacing w:after="0" w:line="180" w:lineRule="exact"/>
        <w:rPr>
          <w:rFonts w:ascii="Arial" w:hAnsi="Arial" w:cs="Arial"/>
          <w:i/>
          <w:sz w:val="16"/>
          <w:szCs w:val="16"/>
          <w:highlight w:val="yellow"/>
        </w:rPr>
      </w:pPr>
      <w:r w:rsidRPr="000E2FB5">
        <w:rPr>
          <w:rFonts w:ascii="Arial" w:hAnsi="Arial" w:cs="Arial"/>
          <w:i/>
          <w:sz w:val="16"/>
          <w:szCs w:val="16"/>
          <w:highlight w:val="yellow"/>
        </w:rPr>
        <w:t>Управление Федеральной антимонопольной службы по Курганской области (Курганское УФАС России)</w:t>
      </w:r>
    </w:p>
    <w:p w:rsidR="000E2FB5" w:rsidRPr="000E2FB5" w:rsidRDefault="000E2FB5" w:rsidP="000E2FB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0E2FB5">
        <w:rPr>
          <w:rFonts w:ascii="Arial" w:hAnsi="Arial" w:cs="Arial"/>
          <w:i/>
          <w:sz w:val="16"/>
          <w:szCs w:val="16"/>
          <w:highlight w:val="yellow"/>
        </w:rPr>
        <w:t xml:space="preserve">Адрес: 640000 </w:t>
      </w:r>
      <w:proofErr w:type="spellStart"/>
      <w:r w:rsidRPr="000E2FB5">
        <w:rPr>
          <w:rFonts w:ascii="Arial" w:hAnsi="Arial" w:cs="Arial"/>
          <w:i/>
          <w:sz w:val="16"/>
          <w:szCs w:val="16"/>
          <w:highlight w:val="yellow"/>
        </w:rPr>
        <w:t>г.Курган</w:t>
      </w:r>
      <w:proofErr w:type="spellEnd"/>
      <w:r w:rsidRPr="000E2FB5">
        <w:rPr>
          <w:rFonts w:ascii="Arial" w:hAnsi="Arial" w:cs="Arial"/>
          <w:i/>
          <w:sz w:val="16"/>
          <w:szCs w:val="16"/>
          <w:highlight w:val="yellow"/>
        </w:rPr>
        <w:t xml:space="preserve">, ул. </w:t>
      </w:r>
      <w:proofErr w:type="spellStart"/>
      <w:r w:rsidRPr="000E2FB5">
        <w:rPr>
          <w:rFonts w:ascii="Arial" w:hAnsi="Arial" w:cs="Arial"/>
          <w:i/>
          <w:sz w:val="16"/>
          <w:szCs w:val="16"/>
          <w:highlight w:val="yellow"/>
        </w:rPr>
        <w:t>М.Горького</w:t>
      </w:r>
      <w:proofErr w:type="spellEnd"/>
      <w:r w:rsidRPr="000E2FB5">
        <w:rPr>
          <w:rFonts w:ascii="Arial" w:hAnsi="Arial" w:cs="Arial"/>
          <w:i/>
          <w:sz w:val="16"/>
          <w:szCs w:val="16"/>
          <w:highlight w:val="yellow"/>
        </w:rPr>
        <w:t>, 40, тел. +7 (3522) 46-39-55; 46-39-85</w:t>
      </w:r>
    </w:p>
    <w:p w:rsidR="000E2FB5" w:rsidRPr="002A706D" w:rsidRDefault="000E2FB5" w:rsidP="00EC2F27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C22DBB" w:rsidRPr="006411EE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</w:p>
    <w:p w:rsidR="00E87153" w:rsidRDefault="00E87153" w:rsidP="00C22DBB">
      <w:pPr>
        <w:spacing w:line="180" w:lineRule="exact"/>
        <w:ind w:left="360"/>
      </w:pPr>
    </w:p>
    <w:sectPr w:rsidR="00E87153" w:rsidSect="00EC2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D"/>
    <w:rsid w:val="000001F1"/>
    <w:rsid w:val="000004A4"/>
    <w:rsid w:val="000048E3"/>
    <w:rsid w:val="00005AC2"/>
    <w:rsid w:val="00007D2D"/>
    <w:rsid w:val="000103CE"/>
    <w:rsid w:val="000361E9"/>
    <w:rsid w:val="00051977"/>
    <w:rsid w:val="00052CB0"/>
    <w:rsid w:val="00053942"/>
    <w:rsid w:val="00053C6E"/>
    <w:rsid w:val="00054357"/>
    <w:rsid w:val="00054E45"/>
    <w:rsid w:val="00062046"/>
    <w:rsid w:val="000659B2"/>
    <w:rsid w:val="00070629"/>
    <w:rsid w:val="000B533A"/>
    <w:rsid w:val="000D726F"/>
    <w:rsid w:val="000E2018"/>
    <w:rsid w:val="000E2FB5"/>
    <w:rsid w:val="0010020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8FF"/>
    <w:rsid w:val="00206FB7"/>
    <w:rsid w:val="00211EF2"/>
    <w:rsid w:val="00221CC9"/>
    <w:rsid w:val="00221EC4"/>
    <w:rsid w:val="002276E8"/>
    <w:rsid w:val="0025067B"/>
    <w:rsid w:val="00283677"/>
    <w:rsid w:val="00292432"/>
    <w:rsid w:val="002B30D8"/>
    <w:rsid w:val="002C0EF7"/>
    <w:rsid w:val="002D49AC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1E4"/>
    <w:rsid w:val="003C2A3B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1E9D"/>
    <w:rsid w:val="00457BE0"/>
    <w:rsid w:val="0049449B"/>
    <w:rsid w:val="00497938"/>
    <w:rsid w:val="004B117A"/>
    <w:rsid w:val="004C11E5"/>
    <w:rsid w:val="004C7C32"/>
    <w:rsid w:val="004F2490"/>
    <w:rsid w:val="004F71B1"/>
    <w:rsid w:val="005232A1"/>
    <w:rsid w:val="00523782"/>
    <w:rsid w:val="00526E3E"/>
    <w:rsid w:val="00527FC0"/>
    <w:rsid w:val="005506FB"/>
    <w:rsid w:val="00574702"/>
    <w:rsid w:val="0058208A"/>
    <w:rsid w:val="0059296D"/>
    <w:rsid w:val="005D03FB"/>
    <w:rsid w:val="005E0055"/>
    <w:rsid w:val="005E0860"/>
    <w:rsid w:val="005F5837"/>
    <w:rsid w:val="0061404F"/>
    <w:rsid w:val="006407AB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7053EA"/>
    <w:rsid w:val="007078B1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01B6E"/>
    <w:rsid w:val="00A16657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645A"/>
    <w:rsid w:val="00C22DBB"/>
    <w:rsid w:val="00C22E7B"/>
    <w:rsid w:val="00C26A51"/>
    <w:rsid w:val="00C27336"/>
    <w:rsid w:val="00C319A7"/>
    <w:rsid w:val="00C516C4"/>
    <w:rsid w:val="00C709BE"/>
    <w:rsid w:val="00C84AFB"/>
    <w:rsid w:val="00CA6E9F"/>
    <w:rsid w:val="00CB6011"/>
    <w:rsid w:val="00CB7586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7FE2"/>
    <w:rsid w:val="00E22AC9"/>
    <w:rsid w:val="00E22AF0"/>
    <w:rsid w:val="00E53111"/>
    <w:rsid w:val="00E535AD"/>
    <w:rsid w:val="00E651D5"/>
    <w:rsid w:val="00E65F14"/>
    <w:rsid w:val="00E87153"/>
    <w:rsid w:val="00EB515E"/>
    <w:rsid w:val="00EC0FCF"/>
    <w:rsid w:val="00EC1A92"/>
    <w:rsid w:val="00EC2F27"/>
    <w:rsid w:val="00ED2E54"/>
    <w:rsid w:val="00EE3510"/>
    <w:rsid w:val="00EE36B2"/>
    <w:rsid w:val="00EE6B28"/>
    <w:rsid w:val="00EF6DF4"/>
    <w:rsid w:val="00F2415F"/>
    <w:rsid w:val="00F313E3"/>
    <w:rsid w:val="00F443EC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4CEA-DB46-4BDF-B416-D29FD1EB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2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Ноздричева Елена Владимировна</cp:lastModifiedBy>
  <cp:revision>2</cp:revision>
  <dcterms:created xsi:type="dcterms:W3CDTF">2017-05-05T10:44:00Z</dcterms:created>
  <dcterms:modified xsi:type="dcterms:W3CDTF">2017-05-05T10:44:00Z</dcterms:modified>
</cp:coreProperties>
</file>