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8.0.0 -->
  <w:body>
    <w:p w:rsidR="00EC4F62">
      <w:pPr>
        <w:pStyle w:val="ConsPlusTitlePage"/>
      </w:pPr>
      <w:r>
        <w:t xml:space="preserve">Документ предоставлен </w:t>
      </w:r>
      <w:r>
        <w:fldChar w:fldCharType="begin"/>
      </w:r>
      <w:r>
        <w:instrText xml:space="preserve"> HYPERLINK "http://www.consultant.ru" </w:instrText>
      </w:r>
      <w:r>
        <w:fldChar w:fldCharType="separate"/>
      </w:r>
      <w:r>
        <w:rPr>
          <w:color w:val="0000FF"/>
        </w:rPr>
        <w:t>КонсультантПлюс</w:t>
      </w:r>
      <w:r>
        <w:fldChar w:fldCharType="end"/>
      </w:r>
      <w:r>
        <w:br/>
      </w:r>
    </w:p>
    <w:p w:rsidR="00EC4F62">
      <w:pPr>
        <w:pStyle w:val="ConsPlusNormal"/>
      </w:pPr>
    </w:p>
    <w:p w:rsidR="00EC4F62">
      <w:pPr>
        <w:pStyle w:val="ConsPlusTitle"/>
        <w:jc w:val="center"/>
      </w:pPr>
      <w:r>
        <w:t>РОССИЙСКАЯ ФЕДЕРАЦИЯ</w:t>
      </w:r>
    </w:p>
    <w:p w:rsidR="00EC4F62">
      <w:pPr>
        <w:pStyle w:val="ConsPlusTitle"/>
        <w:jc w:val="center"/>
      </w:pPr>
      <w:r>
        <w:t>ТЮМЕНСКАЯ ОБЛАСТЬ</w:t>
      </w:r>
    </w:p>
    <w:p w:rsidR="00EC4F62">
      <w:pPr>
        <w:pStyle w:val="ConsPlusTitle"/>
        <w:jc w:val="center"/>
      </w:pPr>
      <w:r>
        <w:t>ХАНТЫ-МАНСИЙСКИЙ АВТОНОМНЫЙ ОКРУГ</w:t>
      </w:r>
    </w:p>
    <w:p w:rsidR="00EC4F62">
      <w:pPr>
        <w:pStyle w:val="ConsPlusTitle"/>
        <w:jc w:val="center"/>
      </w:pPr>
      <w:r>
        <w:t>ЯМАЛО-НЕНЕЦКИЙ АВТОНОМНЫЙ ОКРУГ</w:t>
      </w:r>
    </w:p>
    <w:p w:rsidR="00EC4F62">
      <w:pPr>
        <w:pStyle w:val="ConsPlusTitle"/>
        <w:jc w:val="center"/>
      </w:pPr>
      <w:r>
        <w:t>РЕГИОНАЛЬНАЯ ЭНЕРГЕТИЧЕСКАЯ КОМИССИЯ</w:t>
      </w:r>
    </w:p>
    <w:p w:rsidR="00EC4F62">
      <w:pPr>
        <w:pStyle w:val="ConsPlusTitle"/>
        <w:jc w:val="center"/>
      </w:pPr>
    </w:p>
    <w:p w:rsidR="00EC4F62">
      <w:pPr>
        <w:pStyle w:val="ConsPlusTitle"/>
        <w:jc w:val="center"/>
      </w:pPr>
      <w:r>
        <w:t>РЕШЕНИЕ</w:t>
      </w:r>
    </w:p>
    <w:p w:rsidR="00EC4F62">
      <w:pPr>
        <w:pStyle w:val="ConsPlusTitle"/>
        <w:jc w:val="center"/>
      </w:pPr>
      <w:r>
        <w:t>от 28 сентября 2012 г. N 268</w:t>
      </w:r>
    </w:p>
    <w:p w:rsidR="00EC4F62">
      <w:pPr>
        <w:pStyle w:val="ConsPlusTitle"/>
        <w:jc w:val="center"/>
      </w:pPr>
    </w:p>
    <w:p w:rsidR="00EC4F62">
      <w:pPr>
        <w:pStyle w:val="ConsPlusTitle"/>
        <w:jc w:val="center"/>
      </w:pPr>
      <w:r>
        <w:t>О ВНЕСЕНИИ ИЗМЕНЕНИЙ В РЕШЕНИЕ РЭК ОТ 30.05.2012 N 111</w:t>
      </w:r>
    </w:p>
    <w:p w:rsidR="00EC4F62">
      <w:pPr>
        <w:pStyle w:val="ConsPlusTitle"/>
        <w:jc w:val="center"/>
      </w:pPr>
      <w:r>
        <w:t xml:space="preserve">"ОБ УСТАНОВЛЕНИИ ДОЛГОСРОЧНЫХ ПАРАМЕТРОВ РЕГУЛИРОВАНИЯ </w:t>
      </w:r>
      <w:r>
        <w:t>ДЛЯ</w:t>
      </w:r>
    </w:p>
    <w:p w:rsidR="00EC4F62">
      <w:pPr>
        <w:pStyle w:val="ConsPlusTitle"/>
        <w:jc w:val="center"/>
      </w:pPr>
      <w:r>
        <w:t>ОАО "СУЭНКО", ОАО "ЮТЭК - РЕГИОНАЛЬНЫЕ СЕТИ", ОАО "ГОРОДСКИЕ</w:t>
      </w:r>
    </w:p>
    <w:p w:rsidR="00EC4F62">
      <w:pPr>
        <w:pStyle w:val="ConsPlusTitle"/>
        <w:jc w:val="center"/>
      </w:pPr>
      <w:r>
        <w:t>ЭЛЕКТРИЧЕСКИЕ СЕТИ" Г. НИЖНЕВАРТОВСК, ООО "СУРГУТСКИЕ</w:t>
      </w:r>
    </w:p>
    <w:p w:rsidR="00EC4F62">
      <w:pPr>
        <w:pStyle w:val="ConsPlusTitle"/>
        <w:jc w:val="center"/>
      </w:pPr>
      <w:r>
        <w:t>ЭЛЕКТРИЧЕСКИЕ СЕТИ", ПРИМЕНЯЮЩИХ МЕТОД ДОХОДНОСТИ</w:t>
      </w:r>
    </w:p>
    <w:p w:rsidR="00EC4F62">
      <w:pPr>
        <w:pStyle w:val="ConsPlusTitle"/>
        <w:jc w:val="center"/>
      </w:pPr>
      <w:r>
        <w:t>ИНВЕСТИРОВАННОГО КАПИТАЛА (RAB) ПРИ РАСЧЕТЕ ТАРИФОВ</w:t>
      </w:r>
    </w:p>
    <w:p w:rsidR="00EC4F62">
      <w:pPr>
        <w:pStyle w:val="ConsPlusTitle"/>
        <w:jc w:val="center"/>
      </w:pPr>
      <w:r>
        <w:t>НА УСЛУГИ ПО ПЕРЕДАЧЕ ЭЛЕКТРИЧЕСКОЙ ЭНЕРГИИ"</w:t>
      </w:r>
    </w:p>
    <w:p w:rsidR="00EC4F62">
      <w:pPr>
        <w:pStyle w:val="ConsPlusNormal"/>
        <w:jc w:val="center"/>
      </w:pPr>
    </w:p>
    <w:p w:rsidR="00EC4F62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 HYPERLINK "consultantplus://offline/ref=1DD12946C70CD3C2B63D2C14FC706FD73FB2B9D7518F5F9D3B3703E9E5gAi6E"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26.03.2003 N 35-ФЗ "Об электроэнергетике", </w:t>
      </w:r>
      <w:r>
        <w:fldChar w:fldCharType="begin"/>
      </w:r>
      <w:r>
        <w:instrText xml:space="preserve"> HYPERLINK "consultantplus://offline/ref=1DD12946C70CD3C2B63D2C14FC706FD73FB2BADD568B5F9D3B3703E9E5gAi6E"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r>
        <w:fldChar w:fldCharType="begin"/>
      </w:r>
      <w:r>
        <w:instrText xml:space="preserve"> HYPERLINK "consultantplus://offline/ref=1DD12946C70CD3C2B63D2C14FC706FD73FB3B0DD51885F9D3B3703E9E5gAi6E" </w:instrText>
      </w:r>
      <w:r>
        <w:fldChar w:fldCharType="separate"/>
      </w:r>
      <w:r>
        <w:rPr>
          <w:color w:val="0000FF"/>
        </w:rPr>
        <w:t>приказом</w:t>
      </w:r>
      <w:r>
        <w:fldChar w:fldCharType="end"/>
      </w:r>
      <w:r>
        <w:t xml:space="preserve"> Федеральной службы по тарифам России от 30.03.2012 N 228-э "Об утверждении Методических указаний по регулированию тарифов с применением метода доходности инвестированного капитала", приказом Федеральной службы по тарифам России 21.05.2012 N 115-э</w:t>
      </w:r>
      <w:r>
        <w:t>/3 "О согласовании Федеральной службой по тарифам долгосрочных параметров регулирования ОАО "СУЭНКО", ОАО "ЮТЭК - Региональные сети", ОАО "Городские электрические сети" г. Нижневартовск, ООО "Сургутские электрические сети", с применением метода доходности инвестированного капитала до 01 июля 2017 года", Региональная энергетическая комиссия Тюменской области, Ханты-Мансийского автономного округа, Ямало-Ненецкого автономного округа решила:</w:t>
      </w:r>
    </w:p>
    <w:p w:rsidR="00EC4F62">
      <w:pPr>
        <w:pStyle w:val="ConsPlusNormal"/>
        <w:ind w:firstLine="540"/>
        <w:jc w:val="both"/>
      </w:pPr>
      <w:r>
        <w:t xml:space="preserve">1. </w:t>
      </w:r>
      <w:r>
        <w:t xml:space="preserve">Внести в </w:t>
      </w:r>
      <w:r>
        <w:fldChar w:fldCharType="begin"/>
      </w:r>
      <w:r>
        <w:instrText xml:space="preserve"> HYPERLINK "consultantplus://offline/ref=1DD12946C70CD3C2B63D3219EA1C31D838BAE6D3508F51C2636858B4B2AFB51Eg8iBE" </w:instrText>
      </w:r>
      <w:r>
        <w:fldChar w:fldCharType="separate"/>
      </w:r>
      <w:r>
        <w:rPr>
          <w:color w:val="0000FF"/>
        </w:rPr>
        <w:t>решение</w:t>
      </w:r>
      <w:r>
        <w:fldChar w:fldCharType="end"/>
      </w:r>
      <w:r>
        <w:t xml:space="preserve"> РЭК от 30.05.2012 N 111 "Об установлении долгосрочных параметров регулирования для ОАО "СУЭНКО", ОАО "ЮТЭК - Региональные сети", ОАО "Городские электрические сети" г. Нижневартовск, ООО "Сургутские электрические сети", применяющих метод доходности инвестированного капитала (RAB) при расчете тарифов на услуги по передаче электрической энергии" изменение, изложив </w:t>
      </w:r>
      <w:r>
        <w:fldChar w:fldCharType="begin"/>
      </w:r>
      <w:r>
        <w:instrText xml:space="preserve"> HYPERLINK "consultantplus://offline/ref=1DD12946C70CD3C2B63D3219EA1C31D838BAE6D3508F51C2636858B4B2AFB51E8BA510C9B848095A55E1E8gEi9E" </w:instrText>
      </w:r>
      <w:r>
        <w:fldChar w:fldCharType="separate"/>
      </w:r>
      <w:r>
        <w:rPr>
          <w:color w:val="0000FF"/>
        </w:rPr>
        <w:t>приложение N 1</w:t>
      </w:r>
      <w:r>
        <w:fldChar w:fldCharType="end"/>
      </w:r>
      <w:r>
        <w:t xml:space="preserve"> к указанному решению в редакции, согласно </w:t>
      </w:r>
      <w:r>
        <w:fldChar w:fldCharType="begin"/>
      </w:r>
      <w:r>
        <w:instrText xml:space="preserve"> HYPERLINK \l "P33" </w:instrText>
      </w:r>
      <w:r>
        <w:fldChar w:fldCharType="separate"/>
      </w:r>
      <w:r>
        <w:rPr>
          <w:color w:val="0000FF"/>
        </w:rPr>
        <w:t>приложению</w:t>
      </w:r>
      <w:r>
        <w:fldChar w:fldCharType="end"/>
      </w:r>
      <w:r>
        <w:t xml:space="preserve"> к настоящему решению</w:t>
      </w:r>
      <w:r>
        <w:t>.</w:t>
      </w:r>
    </w:p>
    <w:p w:rsidR="00EC4F62">
      <w:pPr>
        <w:pStyle w:val="ConsPlusNormal"/>
        <w:ind w:firstLine="540"/>
        <w:jc w:val="both"/>
      </w:pPr>
      <w:r>
        <w:t>2. Настоящее решение вступает в силу в установленном порядке.</w:t>
      </w:r>
    </w:p>
    <w:p w:rsidR="00EC4F62">
      <w:pPr>
        <w:pStyle w:val="ConsPlusNormal"/>
        <w:jc w:val="right"/>
      </w:pPr>
    </w:p>
    <w:p w:rsidR="00EC4F62">
      <w:pPr>
        <w:pStyle w:val="ConsPlusNormal"/>
        <w:jc w:val="right"/>
      </w:pPr>
      <w:r>
        <w:t>Заместитель председателя</w:t>
      </w:r>
    </w:p>
    <w:p w:rsidR="00EC4F62">
      <w:pPr>
        <w:pStyle w:val="ConsPlusNormal"/>
        <w:jc w:val="right"/>
      </w:pPr>
      <w:r>
        <w:t>Ю.П.МЫЛЬНИКОВ</w:t>
      </w:r>
    </w:p>
    <w:p w:rsidR="00EC4F62">
      <w:pPr>
        <w:pStyle w:val="ConsPlusNormal"/>
        <w:jc w:val="center"/>
      </w:pPr>
    </w:p>
    <w:p w:rsidR="00EC4F62">
      <w:pPr>
        <w:pStyle w:val="ConsPlusNormal"/>
        <w:jc w:val="center"/>
      </w:pPr>
    </w:p>
    <w:p w:rsidR="00EC4F62">
      <w:pPr>
        <w:pStyle w:val="ConsPlusNormal"/>
        <w:jc w:val="center"/>
      </w:pPr>
    </w:p>
    <w:p w:rsidR="00EC4F62">
      <w:pPr>
        <w:pStyle w:val="ConsPlusNormal"/>
        <w:jc w:val="center"/>
      </w:pPr>
    </w:p>
    <w:p w:rsidR="00EC4F62">
      <w:pPr>
        <w:pStyle w:val="ConsPlusNormal"/>
        <w:jc w:val="center"/>
      </w:pPr>
    </w:p>
    <w:p w:rsidR="00EC4F62">
      <w:pPr>
        <w:pStyle w:val="ConsPlusNormal"/>
        <w:jc w:val="right"/>
      </w:pPr>
      <w:r>
        <w:t>Приложение</w:t>
      </w:r>
    </w:p>
    <w:p w:rsidR="00EC4F62">
      <w:pPr>
        <w:pStyle w:val="ConsPlusNormal"/>
        <w:jc w:val="right"/>
      </w:pPr>
      <w:r>
        <w:t>к решению РЭК</w:t>
      </w:r>
    </w:p>
    <w:p w:rsidR="00EC4F62">
      <w:pPr>
        <w:pStyle w:val="ConsPlusNormal"/>
        <w:jc w:val="right"/>
      </w:pPr>
      <w:r>
        <w:t>от 28.09.2012 N 268</w:t>
      </w:r>
    </w:p>
    <w:p w:rsidR="00EC4F62">
      <w:pPr>
        <w:pStyle w:val="ConsPlusNormal"/>
      </w:pPr>
    </w:p>
    <w:p w:rsidR="00EC4F62">
      <w:pPr>
        <w:pStyle w:val="ConsPlusTitle"/>
        <w:jc w:val="center"/>
      </w:pPr>
      <w:bookmarkStart w:id="0" w:name="P33"/>
      <w:bookmarkEnd w:id="0"/>
      <w:r>
        <w:t>ДОЛГОСРОЧНЫЕ ПАРАМЕТРЫ</w:t>
      </w:r>
    </w:p>
    <w:p w:rsidR="00EC4F62">
      <w:pPr>
        <w:pStyle w:val="ConsPlusTitle"/>
        <w:jc w:val="center"/>
      </w:pPr>
      <w:r>
        <w:t>РЕГУЛИРОВАНИЯ ДЛЯ СЕТЕВЫХ ОРГАНИЗАЦИЙ, ПРИМЕНЯЮЩИХ МЕТОД</w:t>
      </w:r>
    </w:p>
    <w:p w:rsidR="00EC4F62">
      <w:pPr>
        <w:pStyle w:val="ConsPlusTitle"/>
        <w:jc w:val="center"/>
      </w:pPr>
      <w:r>
        <w:t>ДОХОДНОСТИ ИНВЕСТИРОВАННОГО КАПИТАЛА (RAB) ПРИ РАСЧЕТЕ</w:t>
      </w:r>
    </w:p>
    <w:p w:rsidR="00EC4F62">
      <w:pPr>
        <w:pStyle w:val="ConsPlusTitle"/>
        <w:jc w:val="center"/>
      </w:pPr>
      <w:r>
        <w:t>ТАРИФОВ НА УСЛУГИ ПО ПЕРЕДАЧЕ ЭЛЕКТРИЧЕСКОЙ ЭНЕРГИИ</w:t>
      </w:r>
    </w:p>
    <w:p w:rsidR="00EC4F62">
      <w:pPr>
        <w:pStyle w:val="ConsPlusNormal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"/>
        <w:gridCol w:w="1680"/>
        <w:gridCol w:w="504"/>
        <w:gridCol w:w="924"/>
        <w:gridCol w:w="924"/>
        <w:gridCol w:w="924"/>
        <w:gridCol w:w="924"/>
        <w:gridCol w:w="672"/>
        <w:gridCol w:w="588"/>
        <w:gridCol w:w="672"/>
        <w:gridCol w:w="1260"/>
      </w:tblGrid>
      <w:tr>
        <w:tblPrEx>
          <w:tblW w:w="0" w:type="auto"/>
          <w:tblInd w:w="4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60"/>
        </w:trPr>
        <w:tc>
          <w:tcPr>
            <w:tcW w:w="420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N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п</w:t>
            </w:r>
            <w:r>
              <w:rPr>
                <w:sz w:val="14"/>
              </w:rPr>
              <w:t>/п</w:t>
            </w:r>
          </w:p>
        </w:tc>
        <w:tc>
          <w:tcPr>
            <w:tcW w:w="1680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Наименование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  сетевой 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организации </w:t>
            </w:r>
            <w:r>
              <w:rPr>
                <w:sz w:val="14"/>
              </w:rPr>
              <w:t>в</w:t>
            </w:r>
            <w:r>
              <w:rPr>
                <w:sz w:val="14"/>
              </w:rPr>
              <w:t xml:space="preserve">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  </w:t>
            </w:r>
            <w:r>
              <w:rPr>
                <w:sz w:val="14"/>
              </w:rPr>
              <w:t>субъекте</w:t>
            </w:r>
            <w:r>
              <w:rPr>
                <w:sz w:val="14"/>
              </w:rPr>
              <w:t xml:space="preserve">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 Российской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 Федерации     </w:t>
            </w:r>
          </w:p>
        </w:tc>
        <w:tc>
          <w:tcPr>
            <w:tcW w:w="504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Год </w:t>
            </w:r>
          </w:p>
        </w:tc>
        <w:tc>
          <w:tcPr>
            <w:tcW w:w="924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Базовый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уровень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опера-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ционных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расходов,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млн. руб.</w:t>
            </w:r>
          </w:p>
        </w:tc>
        <w:tc>
          <w:tcPr>
            <w:tcW w:w="924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Индекс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эффектив-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ности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опера-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ционных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расходов,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 %    </w:t>
            </w:r>
          </w:p>
        </w:tc>
        <w:tc>
          <w:tcPr>
            <w:tcW w:w="924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Размер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инвести-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рованного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капитала,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млн. руб.</w:t>
            </w:r>
          </w:p>
        </w:tc>
        <w:tc>
          <w:tcPr>
            <w:tcW w:w="924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Чистый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оборотный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капитал,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млн. руб.</w:t>
            </w:r>
          </w:p>
        </w:tc>
        <w:tc>
          <w:tcPr>
            <w:tcW w:w="1260" w:type="dxa"/>
            <w:gridSpan w:val="2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Норма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доходности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на инвести-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рованный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капитал   </w:t>
            </w:r>
          </w:p>
        </w:tc>
        <w:tc>
          <w:tcPr>
            <w:tcW w:w="672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Срок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возв</w:t>
            </w:r>
            <w:r>
              <w:rPr>
                <w:sz w:val="14"/>
              </w:rPr>
              <w:t xml:space="preserve">-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рата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ин-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вести-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рован-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ного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капи-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тала </w:t>
            </w:r>
          </w:p>
        </w:tc>
        <w:tc>
          <w:tcPr>
            <w:tcW w:w="1260" w:type="dxa"/>
            <w:vMerge w:val="restart"/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Уровень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надежности и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качества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реализуемых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товаров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  (услуг)   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420" w:type="dxa"/>
            <w:vMerge/>
            <w:tcBorders>
              <w:top w:val="nil"/>
            </w:tcBorders>
          </w:tcPr>
          <w:p w:rsidR="00EC4F62"/>
        </w:tc>
        <w:tc>
          <w:tcPr>
            <w:tcW w:w="840" w:type="dxa"/>
            <w:vMerge/>
            <w:tcBorders>
              <w:top w:val="nil"/>
            </w:tcBorders>
          </w:tcPr>
          <w:p w:rsidR="00EC4F62"/>
        </w:tc>
        <w:tc>
          <w:tcPr>
            <w:tcW w:w="840" w:type="dxa"/>
            <w:vMerge/>
            <w:tcBorders>
              <w:top w:val="nil"/>
            </w:tcBorders>
          </w:tcPr>
          <w:p w:rsidR="00EC4F62"/>
        </w:tc>
        <w:tc>
          <w:tcPr>
            <w:tcW w:w="840" w:type="dxa"/>
            <w:vMerge/>
            <w:tcBorders>
              <w:top w:val="nil"/>
            </w:tcBorders>
          </w:tcPr>
          <w:p w:rsidR="00EC4F62"/>
        </w:tc>
        <w:tc>
          <w:tcPr>
            <w:tcW w:w="840" w:type="dxa"/>
            <w:vMerge/>
            <w:tcBorders>
              <w:top w:val="nil"/>
            </w:tcBorders>
          </w:tcPr>
          <w:p w:rsidR="00EC4F62"/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НДР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(до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пере</w:t>
            </w:r>
            <w:r>
              <w:rPr>
                <w:sz w:val="14"/>
              </w:rPr>
              <w:t xml:space="preserve">-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хода)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НД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(</w:t>
            </w:r>
            <w:r>
              <w:rPr>
                <w:sz w:val="14"/>
              </w:rPr>
              <w:t>пос</w:t>
            </w:r>
            <w:r>
              <w:rPr>
                <w:sz w:val="14"/>
              </w:rPr>
              <w:t>-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ле) </w:t>
            </w:r>
          </w:p>
        </w:tc>
        <w:tc>
          <w:tcPr>
            <w:tcW w:w="588" w:type="dxa"/>
            <w:vMerge/>
            <w:tcBorders>
              <w:top w:val="nil"/>
            </w:tcBorders>
          </w:tcPr>
          <w:p w:rsidR="00EC4F62"/>
        </w:tc>
        <w:tc>
          <w:tcPr>
            <w:tcW w:w="1176" w:type="dxa"/>
            <w:vMerge/>
            <w:tcBorders>
              <w:top w:val="nil"/>
            </w:tcBorders>
          </w:tcPr>
          <w:p w:rsidR="00EC4F62"/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420" w:type="dxa"/>
            <w:vMerge/>
            <w:tcBorders>
              <w:top w:val="nil"/>
            </w:tcBorders>
          </w:tcPr>
          <w:p w:rsidR="00EC4F62"/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млн. руб.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 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млн. руб.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млн. руб.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% 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%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лет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60"/>
        </w:trPr>
        <w:tc>
          <w:tcPr>
            <w:tcW w:w="42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 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ОАО "СУЭНКО"      </w:t>
            </w:r>
          </w:p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2012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688,66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6738,29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37,08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12%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0,0087/1,0102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2013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688,66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6738,29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39,12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9%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0,0086/1,0102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2014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688,66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6738,29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43,03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0,0084/1,0102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2015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688,66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6738,29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53,13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0,0083/1,0102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2016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688,66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6738,29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58,98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0,0082/1,0102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2017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688,66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6738,29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65,62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0,0081/1,0102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60"/>
        </w:trPr>
        <w:tc>
          <w:tcPr>
            <w:tcW w:w="42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 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ОАО "ЮТЭК -  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>Региональные сети"</w:t>
            </w:r>
          </w:p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2012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1837,49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3230,36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266,63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12%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12%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0,0069/1,0102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2013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1837,49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3230,36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183,53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0,0068/1,0102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2014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1837,49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3230,36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203,70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0,0067/1,0102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2015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1837,49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3230,36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226,89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0,0066/1,0102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2016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1837,49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3230,36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249,70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0,0065/1,0102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2017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1837,49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3230,36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274,37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0,0064/1,0102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60"/>
        </w:trPr>
        <w:tc>
          <w:tcPr>
            <w:tcW w:w="42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 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ОАО "Городские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электрические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сети", </w:t>
            </w:r>
            <w:r>
              <w:rPr>
                <w:sz w:val="14"/>
              </w:rPr>
              <w:t>г</w:t>
            </w:r>
            <w:r>
              <w:rPr>
                <w:sz w:val="14"/>
              </w:rPr>
              <w:t xml:space="preserve">.    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Нижневартовск     </w:t>
            </w:r>
          </w:p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2012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276,84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3027,72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34,46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1,2%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12%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0,0536/1,0102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2013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276,84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3027,72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36,50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9,6%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0,0528/1,0102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2014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276,84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3027,72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38,39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0,0520/1,0102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2015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276,84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3027,72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40,39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0,0512/1,0102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2016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276,84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3027,72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42,49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0,0505/1,0102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2017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276,84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3027,72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44,70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0,0497/1,0102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trHeight w:val="160"/>
        </w:trPr>
        <w:tc>
          <w:tcPr>
            <w:tcW w:w="42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4 </w:t>
            </w:r>
          </w:p>
        </w:tc>
        <w:tc>
          <w:tcPr>
            <w:tcW w:w="1680" w:type="dxa"/>
            <w:vMerge w:val="restart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ООО "Сургутские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городские    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электрические     </w:t>
            </w:r>
          </w:p>
          <w:p w:rsidR="00EC4F62">
            <w:pPr>
              <w:pStyle w:val="ConsPlusNonformat"/>
            </w:pPr>
            <w:r>
              <w:rPr>
                <w:sz w:val="14"/>
              </w:rPr>
              <w:t xml:space="preserve">сети"             </w:t>
            </w:r>
          </w:p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2012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230,41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3006,18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11,38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4,7%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12%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0,0162/1,0102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2013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230,41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3006,18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12,01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7,6%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0,0160/1,0102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2014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230,41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3006,18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15,49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0,0157/1,0102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2015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230,41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3006,18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17,91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0,0155/1,0102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2016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230,41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3006,18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19,88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0,0152/1,0102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c>
          <w:tcPr>
            <w:tcW w:w="336" w:type="dxa"/>
            <w:vMerge/>
            <w:tcBorders>
              <w:top w:val="nil"/>
            </w:tcBorders>
          </w:tcPr>
          <w:p w:rsidR="00EC4F62"/>
        </w:tc>
        <w:tc>
          <w:tcPr>
            <w:tcW w:w="1596" w:type="dxa"/>
            <w:vMerge/>
            <w:tcBorders>
              <w:top w:val="nil"/>
            </w:tcBorders>
          </w:tcPr>
          <w:p w:rsidR="00EC4F62"/>
        </w:tc>
        <w:tc>
          <w:tcPr>
            <w:tcW w:w="50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2017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230,41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 1%   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3006,18 </w:t>
            </w:r>
          </w:p>
        </w:tc>
        <w:tc>
          <w:tcPr>
            <w:tcW w:w="924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22,07 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 </w:t>
            </w:r>
          </w:p>
        </w:tc>
        <w:tc>
          <w:tcPr>
            <w:tcW w:w="588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11% </w:t>
            </w:r>
          </w:p>
        </w:tc>
        <w:tc>
          <w:tcPr>
            <w:tcW w:w="672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 xml:space="preserve">  35  </w:t>
            </w:r>
          </w:p>
        </w:tc>
        <w:tc>
          <w:tcPr>
            <w:tcW w:w="1260" w:type="dxa"/>
            <w:tcBorders>
              <w:top w:val="nil"/>
            </w:tcBorders>
          </w:tcPr>
          <w:p w:rsidR="00EC4F62">
            <w:pPr>
              <w:pStyle w:val="ConsPlusNonformat"/>
            </w:pPr>
            <w:r>
              <w:rPr>
                <w:sz w:val="14"/>
              </w:rPr>
              <w:t>0,0150/1,0102</w:t>
            </w:r>
          </w:p>
        </w:tc>
      </w:tr>
    </w:tbl>
    <w:p w:rsidR="00EC4F62">
      <w:pPr>
        <w:pStyle w:val="ConsPlusNormal"/>
      </w:pPr>
    </w:p>
    <w:p w:rsidR="00EC4F62">
      <w:pPr>
        <w:pStyle w:val="ConsPlusNormal"/>
      </w:pPr>
    </w:p>
    <w:p w:rsidR="00EC4F6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1B2554">
      <w:bookmarkStart w:id="1" w:name="_GoBack"/>
      <w:bookmarkEnd w:id="1"/>
    </w:p>
    <w:sectPr w:rsidSect="00D5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0"/>
  <w:proofState w:grammar="clean"/>
  <w:trackRevisions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EC4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4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4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4F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Ирина Борисовна</dc:creator>
  <cp:lastModifiedBy>Лаврентьева Ирина Борисовна</cp:lastModifiedBy>
  <cp:revision>1</cp:revision>
  <dcterms:created xsi:type="dcterms:W3CDTF">2016-04-18T04:34:00Z</dcterms:created>
  <dcterms:modified xsi:type="dcterms:W3CDTF">2016-04-18T04:35:00Z</dcterms:modified>
</cp:coreProperties>
</file>