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8.0.0 -->
  <w:body>
    <w:p w:rsidR="00B61618">
      <w:pPr>
        <w:pStyle w:val="ConsPlusTitlePage"/>
      </w:pPr>
      <w:r>
        <w:t xml:space="preserve">Документ предоставлен </w:t>
      </w:r>
      <w:r>
        <w:fldChar w:fldCharType="begin"/>
      </w:r>
      <w:r>
        <w:instrText xml:space="preserve"> HYPERLINK "http://www.consultant.ru" </w:instrText>
      </w:r>
      <w:r>
        <w:fldChar w:fldCharType="separate"/>
      </w:r>
      <w:r>
        <w:rPr>
          <w:color w:val="0000FF"/>
        </w:rPr>
        <w:t>КонсультантПлюс</w:t>
      </w:r>
      <w:r>
        <w:fldChar w:fldCharType="end"/>
      </w:r>
      <w:r>
        <w:br/>
      </w:r>
    </w:p>
    <w:p w:rsidR="00B61618">
      <w:pPr>
        <w:pStyle w:val="ConsPlusNormal"/>
      </w:pPr>
    </w:p>
    <w:p w:rsidR="00B61618">
      <w:pPr>
        <w:pStyle w:val="ConsPlusTitle"/>
        <w:jc w:val="center"/>
      </w:pPr>
      <w:r>
        <w:t>РОССИЙСКАЯ ФЕДЕРАЦИЯ</w:t>
      </w:r>
    </w:p>
    <w:p w:rsidR="00B61618">
      <w:pPr>
        <w:pStyle w:val="ConsPlusTitle"/>
        <w:jc w:val="center"/>
      </w:pPr>
      <w:r>
        <w:t>ТЮМЕНСКАЯ ОБЛАСТЬ</w:t>
      </w:r>
    </w:p>
    <w:p w:rsidR="00B61618">
      <w:pPr>
        <w:pStyle w:val="ConsPlusTitle"/>
        <w:jc w:val="center"/>
      </w:pPr>
      <w:r>
        <w:t>ХАНТЫ-МАНСИЙСКИЙ АВТОНОМНЫЙ ОКРУГ</w:t>
      </w:r>
    </w:p>
    <w:p w:rsidR="00B61618">
      <w:pPr>
        <w:pStyle w:val="ConsPlusTitle"/>
        <w:jc w:val="center"/>
      </w:pPr>
      <w:r>
        <w:t>ЯМАЛО-НЕНЕЦКИЙ АВТОНОМНЫЙ ОКРУГ</w:t>
      </w:r>
    </w:p>
    <w:p w:rsidR="00B61618">
      <w:pPr>
        <w:pStyle w:val="ConsPlusTitle"/>
        <w:jc w:val="center"/>
      </w:pPr>
      <w:r>
        <w:t>РЕГИОНАЛЬНАЯ ЭНЕРГЕТИЧЕСКАЯ КОМИССИЯ</w:t>
      </w:r>
    </w:p>
    <w:p w:rsidR="00B61618">
      <w:pPr>
        <w:pStyle w:val="ConsPlusTitle"/>
        <w:jc w:val="center"/>
      </w:pPr>
    </w:p>
    <w:p w:rsidR="00B61618">
      <w:pPr>
        <w:pStyle w:val="ConsPlusTitle"/>
        <w:jc w:val="center"/>
      </w:pPr>
      <w:r>
        <w:t>РЕШЕНИЕ</w:t>
      </w:r>
    </w:p>
    <w:p w:rsidR="00B61618">
      <w:pPr>
        <w:pStyle w:val="ConsPlusTitle"/>
        <w:jc w:val="center"/>
      </w:pPr>
      <w:r>
        <w:t>от 25 июня 2013 г. N 74</w:t>
      </w:r>
    </w:p>
    <w:p w:rsidR="00B61618">
      <w:pPr>
        <w:pStyle w:val="ConsPlusTitle"/>
        <w:jc w:val="center"/>
      </w:pPr>
    </w:p>
    <w:p w:rsidR="00B61618">
      <w:pPr>
        <w:pStyle w:val="ConsPlusTitle"/>
        <w:jc w:val="center"/>
      </w:pPr>
      <w:r>
        <w:t>О ВНЕСЕНИИ ИЗМЕНЕНИЯ В РЕШЕНИЕ РЭК ОТ 30.05.2012 N 111</w:t>
      </w:r>
    </w:p>
    <w:p w:rsidR="00B61618">
      <w:pPr>
        <w:pStyle w:val="ConsPlusTitle"/>
        <w:jc w:val="center"/>
      </w:pPr>
      <w:r>
        <w:t>"ОБ УСТАНОВЛЕНИИ ДОЛГОСРОЧНЫХ ПАРАМЕТРОВ РЕГУЛИРОВАНИЯ</w:t>
      </w:r>
    </w:p>
    <w:p w:rsidR="00B61618">
      <w:pPr>
        <w:pStyle w:val="ConsPlusTitle"/>
        <w:jc w:val="center"/>
      </w:pPr>
      <w:r>
        <w:t>ДЛЯ ОАО "СУЭНКО", ОАО "ЮТЭК - РЕГИОНАЛЬНЫЕ СЕТИ",</w:t>
      </w:r>
    </w:p>
    <w:p w:rsidR="00B61618">
      <w:pPr>
        <w:pStyle w:val="ConsPlusTitle"/>
        <w:jc w:val="center"/>
      </w:pPr>
      <w:r>
        <w:t>ОАО "ГОРОДСКИЕ ЭЛЕКТРИЧЕСКИЕ СЕТИ" Г. НИЖНЕВАРТОВСК,</w:t>
      </w:r>
    </w:p>
    <w:p w:rsidR="00B61618">
      <w:pPr>
        <w:pStyle w:val="ConsPlusTitle"/>
        <w:jc w:val="center"/>
      </w:pPr>
      <w:r>
        <w:t>ООО "СУРГУТСКИЕ ЭЛЕКТРИЧЕСКИЕ СЕТИ", ПРИМЕНЯЮЩИХ МЕТОД</w:t>
      </w:r>
    </w:p>
    <w:p w:rsidR="00B61618">
      <w:pPr>
        <w:pStyle w:val="ConsPlusTitle"/>
        <w:jc w:val="center"/>
      </w:pPr>
      <w:r>
        <w:t>ДОХОДНОСТИ ИНВЕСТИРОВАННОГО КАПИТАЛА (RAB) ПРИ РАСЧЕТЕ</w:t>
      </w:r>
    </w:p>
    <w:p w:rsidR="00B61618">
      <w:pPr>
        <w:pStyle w:val="ConsPlusTitle"/>
        <w:jc w:val="center"/>
      </w:pPr>
      <w:r>
        <w:t>ТАРИФОВ НА УСЛУГИ ПО ПЕРЕДАЧЕ ЭЛЕКТРИЧЕСКОЙ ЭНЕРГИИ"</w:t>
      </w:r>
    </w:p>
    <w:p w:rsidR="00B61618">
      <w:pPr>
        <w:pStyle w:val="ConsPlusNormal"/>
        <w:jc w:val="center"/>
      </w:pPr>
    </w:p>
    <w:p w:rsidR="00B61618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 HYPERLINK "consultantplus://offline/ref=D058E0918CCED95D69B763A135C5DE72386BADB9BBF3C321D8E6AFCFFBC9dFE"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26.03.2003 N 35-ФЗ "Об электроэнергетике", </w:t>
      </w:r>
      <w:r>
        <w:fldChar w:fldCharType="begin"/>
      </w:r>
      <w:r>
        <w:instrText xml:space="preserve"> HYPERLINK "consultantplus://offline/ref=D058E0918CCED95D69B763A135C5DE72386BA1BFBAFEC321D8E6AFCFFBC9dFE"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r>
        <w:fldChar w:fldCharType="begin"/>
      </w:r>
      <w:r>
        <w:instrText xml:space="preserve"> HYPERLINK "consultantplus://offline/ref=D058E0918CCED95D69B763A135C5DE72386DA1BDBCF9C321D8E6AFCFFBC9dFE" </w:instrText>
      </w:r>
      <w:r>
        <w:fldChar w:fldCharType="separate"/>
      </w:r>
      <w:r>
        <w:rPr>
          <w:color w:val="0000FF"/>
        </w:rPr>
        <w:t>приказом</w:t>
      </w:r>
      <w:r>
        <w:fldChar w:fldCharType="end"/>
      </w:r>
      <w:r>
        <w:t xml:space="preserve"> Федеральной службы по тарифам России от 30.03.2012 N 228-э "Об утверждении Методических указаний по регулированию тарифов с применением метода доходности инвестированного капитала", Методическими </w:t>
      </w:r>
      <w:r>
        <w:fldChar w:fldCharType="begin"/>
      </w:r>
      <w:r>
        <w:instrText xml:space="preserve"> HYPERLINK "consultantplus://offline/ref=D058E0918CCED95D69B763A135C5DE72386CA0BDBEFCC321D8E6AFCFFB9F30E5877B9A4FF5573BF9C3d8E" </w:instrText>
      </w:r>
      <w:r>
        <w:fldChar w:fldCharType="separate"/>
      </w:r>
      <w:r>
        <w:rPr>
          <w:color w:val="0000FF"/>
        </w:rPr>
        <w:t>указаниями</w:t>
      </w:r>
      <w:r>
        <w:fldChar w:fldCharType="end"/>
      </w:r>
      <w:r>
        <w:t xml:space="preserve"> по расчету уровня надежности и качества поставляемых</w:t>
      </w:r>
      <w:r>
        <w:t xml:space="preserve">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организаций, утвержденными приказом Минэнерго России от 29.06.2010 N 296, с изменениями, внесенными приказом Минэнерго России от 28.09.2012 N 465, Региональная энергетическая комиссия Тюменской области, Ханты-Мансийского автономного округа, Ямало-Ненецкого автономного округа решила:</w:t>
      </w:r>
    </w:p>
    <w:p w:rsidR="00B61618">
      <w:pPr>
        <w:pStyle w:val="ConsPlusNormal"/>
        <w:ind w:firstLine="540"/>
        <w:jc w:val="both"/>
      </w:pPr>
      <w:r>
        <w:t xml:space="preserve">1. </w:t>
      </w:r>
      <w:r>
        <w:t xml:space="preserve">Внести в </w:t>
      </w:r>
      <w:r>
        <w:fldChar w:fldCharType="begin"/>
      </w:r>
      <w:r>
        <w:instrText xml:space="preserve"> HYPERLINK "consultantplus://offline/ref=D058E0918CCED95D69B77DAC23A9807D3F64F7B3BDFDCC7E81B9F492AC963AB2CCd0E" </w:instrText>
      </w:r>
      <w:r>
        <w:fldChar w:fldCharType="separate"/>
      </w:r>
      <w:r>
        <w:rPr>
          <w:color w:val="0000FF"/>
        </w:rPr>
        <w:t>решение</w:t>
      </w:r>
      <w:r>
        <w:fldChar w:fldCharType="end"/>
      </w:r>
      <w:r>
        <w:t xml:space="preserve"> РЭК от 30.05.2012 N 111 "Об установлении долгосрочных параметров регулирования для ОАО "СУЭНКО", ОАО "ЮТЭК - Региональные сети", ОАО "Городские электрические сети" г. Нижневартовск, ООО "Сургутские электрические сети", применяющих метод доходности инвестированного капитала (RAB) при расчете тарифов на услуги по передаче электрической энергии" изменение, изложив </w:t>
      </w:r>
      <w:r>
        <w:fldChar w:fldCharType="begin"/>
      </w:r>
      <w:r>
        <w:instrText xml:space="preserve"> HYPERLINK "consultantplus://offline/ref=D058E0918CCED95D69B77DAC23A9807D3F64F7B3BDFDCC7E81B9F492AC963AB2C034C30DB15A3AF83846C6C4dDE" </w:instrText>
      </w:r>
      <w:r>
        <w:fldChar w:fldCharType="separate"/>
      </w:r>
      <w:r>
        <w:rPr>
          <w:color w:val="0000FF"/>
        </w:rPr>
        <w:t>приложение N 1</w:t>
      </w:r>
      <w:r>
        <w:fldChar w:fldCharType="end"/>
      </w:r>
      <w:r>
        <w:t xml:space="preserve"> к указанному решению в редакции, согласно </w:t>
      </w:r>
      <w:r>
        <w:fldChar w:fldCharType="begin"/>
      </w:r>
      <w:r>
        <w:instrText xml:space="preserve"> HYPERLINK \l "P33" </w:instrText>
      </w:r>
      <w:r>
        <w:fldChar w:fldCharType="separate"/>
      </w:r>
      <w:r>
        <w:rPr>
          <w:color w:val="0000FF"/>
        </w:rPr>
        <w:t>приложению</w:t>
      </w:r>
      <w:r>
        <w:fldChar w:fldCharType="end"/>
      </w:r>
      <w:r>
        <w:t xml:space="preserve"> к настоящему решению</w:t>
      </w:r>
      <w:r>
        <w:t>.</w:t>
      </w:r>
    </w:p>
    <w:p w:rsidR="00B61618">
      <w:pPr>
        <w:pStyle w:val="ConsPlusNormal"/>
        <w:ind w:firstLine="540"/>
        <w:jc w:val="both"/>
      </w:pPr>
      <w:r>
        <w:t>2. Настоящее решение вступает в силу с 01 июля 2013 года.</w:t>
      </w:r>
    </w:p>
    <w:p w:rsidR="00B61618">
      <w:pPr>
        <w:pStyle w:val="ConsPlusNormal"/>
        <w:jc w:val="both"/>
      </w:pPr>
    </w:p>
    <w:p w:rsidR="00B61618">
      <w:pPr>
        <w:pStyle w:val="ConsPlusNormal"/>
        <w:jc w:val="right"/>
      </w:pPr>
      <w:r>
        <w:t>Заместитель председателя</w:t>
      </w:r>
    </w:p>
    <w:p w:rsidR="00B61618">
      <w:pPr>
        <w:pStyle w:val="ConsPlusNormal"/>
        <w:jc w:val="right"/>
      </w:pPr>
      <w:r>
        <w:t>Ю.П.МЫЛЬНИКОВ</w:t>
      </w:r>
    </w:p>
    <w:p w:rsidR="00B61618">
      <w:pPr>
        <w:pStyle w:val="ConsPlusNormal"/>
        <w:jc w:val="center"/>
      </w:pPr>
    </w:p>
    <w:p w:rsidR="00B61618">
      <w:pPr>
        <w:pStyle w:val="ConsPlusNormal"/>
        <w:jc w:val="center"/>
      </w:pPr>
    </w:p>
    <w:p w:rsidR="00B61618">
      <w:pPr>
        <w:pStyle w:val="ConsPlusNormal"/>
        <w:jc w:val="center"/>
      </w:pPr>
    </w:p>
    <w:p w:rsidR="00B61618">
      <w:pPr>
        <w:pStyle w:val="ConsPlusNormal"/>
        <w:jc w:val="center"/>
      </w:pPr>
    </w:p>
    <w:p w:rsidR="00B61618">
      <w:pPr>
        <w:pStyle w:val="ConsPlusNormal"/>
        <w:jc w:val="center"/>
      </w:pPr>
    </w:p>
    <w:p w:rsidR="00B61618">
      <w:pPr>
        <w:pStyle w:val="ConsPlusNormal"/>
        <w:jc w:val="right"/>
      </w:pPr>
      <w:r>
        <w:t>Приложение</w:t>
      </w:r>
    </w:p>
    <w:p w:rsidR="00B61618">
      <w:pPr>
        <w:pStyle w:val="ConsPlusNormal"/>
        <w:jc w:val="right"/>
      </w:pPr>
      <w:r>
        <w:t>к решению РЭК</w:t>
      </w:r>
    </w:p>
    <w:p w:rsidR="00B61618">
      <w:pPr>
        <w:pStyle w:val="ConsPlusNormal"/>
        <w:jc w:val="right"/>
      </w:pPr>
      <w:r>
        <w:t>от 25.06.2013 N 74</w:t>
      </w:r>
    </w:p>
    <w:p w:rsidR="00B61618">
      <w:pPr>
        <w:pStyle w:val="ConsPlusNormal"/>
        <w:jc w:val="right"/>
      </w:pPr>
    </w:p>
    <w:p w:rsidR="00B61618">
      <w:pPr>
        <w:pStyle w:val="ConsPlusTitle"/>
        <w:jc w:val="center"/>
      </w:pPr>
      <w:bookmarkStart w:id="0" w:name="P33"/>
      <w:bookmarkEnd w:id="0"/>
      <w:r>
        <w:t>ДОЛГОСРОЧНЫЕ ПАРАМЕТРЫ</w:t>
      </w:r>
    </w:p>
    <w:p w:rsidR="00B61618">
      <w:pPr>
        <w:pStyle w:val="ConsPlusTitle"/>
        <w:jc w:val="center"/>
      </w:pPr>
      <w:r>
        <w:t>РЕГУЛИРОВАНИЯ ДЛЯ СЕТЕВЫХ ОРГАНИЗАЦИЙ, ПРИМЕНЯЮЩИХ МЕТОД</w:t>
      </w:r>
    </w:p>
    <w:p w:rsidR="00B61618">
      <w:pPr>
        <w:pStyle w:val="ConsPlusTitle"/>
        <w:jc w:val="center"/>
      </w:pPr>
      <w:r>
        <w:t>ДОХОДНОСТИ ИНВЕСТИРОВАННОГО КАПИТАЛА (RAB) ПРИ РАСЧЕТЕ</w:t>
      </w:r>
    </w:p>
    <w:p w:rsidR="00B61618">
      <w:pPr>
        <w:pStyle w:val="ConsPlusTitle"/>
        <w:jc w:val="center"/>
      </w:pPr>
      <w:r>
        <w:t>ТАРИФОВ НА УСЛУГИ ПО ПЕРЕДАЧЕ ЭЛЕКТРИЧЕСКОЙ ЭНЕРГИИ</w:t>
      </w:r>
    </w:p>
    <w:p w:rsidR="00B6161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1296"/>
        <w:gridCol w:w="432"/>
        <w:gridCol w:w="1008"/>
        <w:gridCol w:w="792"/>
        <w:gridCol w:w="792"/>
        <w:gridCol w:w="792"/>
        <w:gridCol w:w="792"/>
        <w:gridCol w:w="648"/>
        <w:gridCol w:w="720"/>
        <w:gridCol w:w="648"/>
        <w:gridCol w:w="1296"/>
      </w:tblGrid>
      <w:tr>
        <w:tblPrEx>
          <w:tblW w:w="0" w:type="auto"/>
          <w:tblInd w:w="4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40"/>
        </w:trPr>
        <w:tc>
          <w:tcPr>
            <w:tcW w:w="360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N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п</w:t>
            </w:r>
            <w:r>
              <w:rPr>
                <w:sz w:val="12"/>
              </w:rPr>
              <w:t>/п</w:t>
            </w:r>
          </w:p>
        </w:tc>
        <w:tc>
          <w:tcPr>
            <w:tcW w:w="1296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Наименование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сетевой 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организации </w:t>
            </w:r>
            <w:r>
              <w:rPr>
                <w:sz w:val="12"/>
              </w:rPr>
              <w:t>в</w:t>
            </w:r>
            <w:r>
              <w:rPr>
                <w:sz w:val="12"/>
              </w:rPr>
              <w:t xml:space="preserve">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</w:t>
            </w:r>
            <w:r>
              <w:rPr>
                <w:sz w:val="12"/>
              </w:rPr>
              <w:t>субъекте</w:t>
            </w:r>
            <w:r>
              <w:rPr>
                <w:sz w:val="12"/>
              </w:rPr>
              <w:t xml:space="preserve">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Российской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Федерации    </w:t>
            </w:r>
          </w:p>
        </w:tc>
        <w:tc>
          <w:tcPr>
            <w:tcW w:w="432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Год </w:t>
            </w:r>
          </w:p>
        </w:tc>
        <w:tc>
          <w:tcPr>
            <w:tcW w:w="1008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Базовый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уровень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операционных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расходов,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млн. руб.  </w:t>
            </w:r>
          </w:p>
        </w:tc>
        <w:tc>
          <w:tcPr>
            <w:tcW w:w="792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Индекс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эффектив-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ности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опера-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ционных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расходов,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%    </w:t>
            </w:r>
          </w:p>
        </w:tc>
        <w:tc>
          <w:tcPr>
            <w:tcW w:w="792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Размер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инвести-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рованного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капитала,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млн. руб.</w:t>
            </w:r>
          </w:p>
        </w:tc>
        <w:tc>
          <w:tcPr>
            <w:tcW w:w="792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Чистый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оборотный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капитал,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млн. руб.</w:t>
            </w:r>
          </w:p>
        </w:tc>
        <w:tc>
          <w:tcPr>
            <w:tcW w:w="1440" w:type="dxa"/>
            <w:gridSpan w:val="2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Норма доходности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   на    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инвестированный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 капитал     </w:t>
            </w:r>
          </w:p>
        </w:tc>
        <w:tc>
          <w:tcPr>
            <w:tcW w:w="720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Срок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возврата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инвести-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рован-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ного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капитала</w:t>
            </w:r>
          </w:p>
        </w:tc>
        <w:tc>
          <w:tcPr>
            <w:tcW w:w="648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>Уровень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надеж-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ности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реали-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зуемых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товаров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(услуг)</w:t>
            </w:r>
          </w:p>
        </w:tc>
        <w:tc>
          <w:tcPr>
            <w:tcW w:w="1296" w:type="dxa"/>
            <w:vMerge w:val="restart"/>
          </w:tcPr>
          <w:p w:rsidR="00B61618">
            <w:pPr>
              <w:pStyle w:val="ConsPlusNonformat"/>
            </w:pPr>
            <w:r>
              <w:rPr>
                <w:sz w:val="12"/>
              </w:rPr>
              <w:t>Уровень качества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реализуемых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товаров 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(услуг)/Уровень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 качества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осуществляемого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технологического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присоединения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360" w:type="dxa"/>
            <w:vMerge/>
            <w:tcBorders>
              <w:top w:val="nil"/>
            </w:tcBorders>
          </w:tcPr>
          <w:p w:rsidR="00B61618"/>
        </w:tc>
        <w:tc>
          <w:tcPr>
            <w:tcW w:w="936" w:type="dxa"/>
            <w:vMerge/>
            <w:tcBorders>
              <w:top w:val="nil"/>
            </w:tcBorders>
          </w:tcPr>
          <w:p w:rsidR="00B61618"/>
        </w:tc>
        <w:tc>
          <w:tcPr>
            <w:tcW w:w="720" w:type="dxa"/>
            <w:vMerge/>
            <w:tcBorders>
              <w:top w:val="nil"/>
            </w:tcBorders>
          </w:tcPr>
          <w:p w:rsidR="00B61618"/>
        </w:tc>
        <w:tc>
          <w:tcPr>
            <w:tcW w:w="720" w:type="dxa"/>
            <w:vMerge/>
            <w:tcBorders>
              <w:top w:val="nil"/>
            </w:tcBorders>
          </w:tcPr>
          <w:p w:rsidR="00B61618"/>
        </w:tc>
        <w:tc>
          <w:tcPr>
            <w:tcW w:w="720" w:type="dxa"/>
            <w:vMerge/>
            <w:tcBorders>
              <w:top w:val="nil"/>
            </w:tcBorders>
          </w:tcPr>
          <w:p w:rsidR="00B61618"/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НДР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   </w:t>
            </w:r>
            <w:r>
              <w:rPr>
                <w:sz w:val="12"/>
              </w:rPr>
              <w:t xml:space="preserve">(до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перехода)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НД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>(после)</w:t>
            </w:r>
          </w:p>
        </w:tc>
        <w:tc>
          <w:tcPr>
            <w:tcW w:w="648" w:type="dxa"/>
            <w:vMerge/>
            <w:tcBorders>
              <w:top w:val="nil"/>
            </w:tcBorders>
          </w:tcPr>
          <w:p w:rsidR="00B61618"/>
        </w:tc>
        <w:tc>
          <w:tcPr>
            <w:tcW w:w="576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360" w:type="dxa"/>
            <w:vMerge/>
            <w:tcBorders>
              <w:top w:val="nil"/>
            </w:tcBorders>
          </w:tcPr>
          <w:p w:rsidR="00B61618"/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млн. руб.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 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млн. руб.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млн. руб.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 % 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% 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лет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40"/>
        </w:trPr>
        <w:tc>
          <w:tcPr>
            <w:tcW w:w="360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1 </w:t>
            </w:r>
          </w:p>
        </w:tc>
        <w:tc>
          <w:tcPr>
            <w:tcW w:w="1296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ОАО "СУЭНКО"    </w:t>
            </w:r>
          </w:p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2012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688,66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6738,29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37,08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12%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0,0087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  1,0102   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2013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688,66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6738,29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39,12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9% 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0,0086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0,8975/1,0008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2014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688,66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6738,29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43,03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0,0084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0,8975/0,9858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2015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688,66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6738,29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53,13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0,0083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0,8975/0,9710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2016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688,66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6738,29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58,98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0,0082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0,8975/0,9564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2017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688,66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6738,29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65,62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0,0081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0,8975/0,9421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40"/>
        </w:trPr>
        <w:tc>
          <w:tcPr>
            <w:tcW w:w="360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2 </w:t>
            </w:r>
          </w:p>
        </w:tc>
        <w:tc>
          <w:tcPr>
            <w:tcW w:w="1296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ОАО "ЮТЭК - 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Региональные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сети"           </w:t>
            </w:r>
          </w:p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2012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1837,49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3230,36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266,63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12%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12%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0,0069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  1,0102   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2013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1837,49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3230,36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183,53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0,00645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0,8975/1,0168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2014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1837,49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3230,36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203,70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0,00635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0,8975/1,0016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2015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1837,49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3230,36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226,89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0,0063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0,8975/0,9865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2016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1837,49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3230,36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249,70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0,0062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0,8975/0,9717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2017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1837,49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3230,36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274,37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0,0061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0,8975/0,9572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40"/>
        </w:trPr>
        <w:tc>
          <w:tcPr>
            <w:tcW w:w="360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 </w:t>
            </w:r>
          </w:p>
        </w:tc>
        <w:tc>
          <w:tcPr>
            <w:tcW w:w="1296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ОАО "Городские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электрические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сети", </w:t>
            </w:r>
            <w:r>
              <w:rPr>
                <w:sz w:val="12"/>
              </w:rPr>
              <w:t>г</w:t>
            </w:r>
            <w:r>
              <w:rPr>
                <w:sz w:val="12"/>
              </w:rPr>
              <w:t xml:space="preserve">.   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Нижневартовск   </w:t>
            </w:r>
          </w:p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2012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276,84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3027,72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34,46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1,2%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12%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0,0536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  1,0102   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2013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276,84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3027,72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36,50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9,6%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0,0516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0,8975/1,0154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2014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276,84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3027,72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38,39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0,0508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0,8975/1,0002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2015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276,84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3027,72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40,39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0,0500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0,8975/0,9852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2016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276,84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3027,72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42,49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0,0493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0,8975/0,9704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2017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276,84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3027,72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44,70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0,0485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0,8975/0,9558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40"/>
        </w:trPr>
        <w:tc>
          <w:tcPr>
            <w:tcW w:w="360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4 </w:t>
            </w:r>
          </w:p>
        </w:tc>
        <w:tc>
          <w:tcPr>
            <w:tcW w:w="1296" w:type="dxa"/>
            <w:vMerge w:val="restart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ООО "Сургутские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городские    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электрические   </w:t>
            </w:r>
          </w:p>
          <w:p w:rsidR="00B61618">
            <w:pPr>
              <w:pStyle w:val="ConsPlusNonformat"/>
            </w:pPr>
            <w:r>
              <w:rPr>
                <w:sz w:val="12"/>
              </w:rPr>
              <w:t xml:space="preserve">сети"           </w:t>
            </w:r>
          </w:p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2012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230,41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3006,18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11,38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4,7%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12%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0,0162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  1,0102   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2013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230,41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3006,18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12,01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7,6%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0,0160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0,8975/1,0000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2014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230,41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3006,18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15,49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0,0158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0,8975/0,9850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2015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230,41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3006,18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17,91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0,0156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0,8975/0,9702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2016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230,41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3006,18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19,88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0,0153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0,8975/0,9557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288" w:type="dxa"/>
            <w:vMerge/>
            <w:tcBorders>
              <w:top w:val="nil"/>
            </w:tcBorders>
          </w:tcPr>
          <w:p w:rsidR="00B61618"/>
        </w:tc>
        <w:tc>
          <w:tcPr>
            <w:tcW w:w="1224" w:type="dxa"/>
            <w:vMerge/>
            <w:tcBorders>
              <w:top w:val="nil"/>
            </w:tcBorders>
          </w:tcPr>
          <w:p w:rsidR="00B61618"/>
        </w:tc>
        <w:tc>
          <w:tcPr>
            <w:tcW w:w="43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>2017</w:t>
            </w:r>
          </w:p>
        </w:tc>
        <w:tc>
          <w:tcPr>
            <w:tcW w:w="100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230,41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1%  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3006,18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22,07  </w:t>
            </w:r>
          </w:p>
        </w:tc>
        <w:tc>
          <w:tcPr>
            <w:tcW w:w="792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11%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11%  </w:t>
            </w:r>
          </w:p>
        </w:tc>
        <w:tc>
          <w:tcPr>
            <w:tcW w:w="720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  35   </w:t>
            </w:r>
          </w:p>
        </w:tc>
        <w:tc>
          <w:tcPr>
            <w:tcW w:w="648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0,0151 </w:t>
            </w:r>
          </w:p>
        </w:tc>
        <w:tc>
          <w:tcPr>
            <w:tcW w:w="1296" w:type="dxa"/>
            <w:tcBorders>
              <w:top w:val="nil"/>
            </w:tcBorders>
          </w:tcPr>
          <w:p w:rsidR="00B61618">
            <w:pPr>
              <w:pStyle w:val="ConsPlusNonformat"/>
            </w:pPr>
            <w:r>
              <w:rPr>
                <w:sz w:val="12"/>
              </w:rPr>
              <w:t xml:space="preserve"> 0,8975/0,9413  </w:t>
            </w:r>
          </w:p>
        </w:tc>
      </w:tr>
    </w:tbl>
    <w:p w:rsidR="00B61618">
      <w:pPr>
        <w:pStyle w:val="ConsPlusNormal"/>
      </w:pPr>
    </w:p>
    <w:p w:rsidR="00B61618">
      <w:pPr>
        <w:pStyle w:val="ConsPlusNormal"/>
      </w:pPr>
    </w:p>
    <w:p w:rsidR="00B6161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B2554">
      <w:bookmarkStart w:id="1" w:name="_GoBack"/>
      <w:bookmarkEnd w:id="1"/>
    </w:p>
    <w:sectPr w:rsidSect="00F8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proofState w:grammar="clean"/>
  <w:trackRevisions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61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Ирина Борисовна</dc:creator>
  <cp:lastModifiedBy>Лаврентьева Ирина Борисовна</cp:lastModifiedBy>
  <cp:revision>1</cp:revision>
  <dcterms:created xsi:type="dcterms:W3CDTF">2016-04-18T04:29:00Z</dcterms:created>
  <dcterms:modified xsi:type="dcterms:W3CDTF">2016-04-18T04:29:00Z</dcterms:modified>
</cp:coreProperties>
</file>